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outlineLvl w:val="0"/>
        <w:rPr>
          <w:rFonts w:ascii="微软雅黑" w:hAnsi="微软雅黑" w:eastAsia="微软雅黑" w:cs="宋体"/>
          <w:kern w:val="36"/>
          <w:sz w:val="36"/>
          <w:szCs w:val="36"/>
        </w:rPr>
      </w:pPr>
      <w:r>
        <w:rPr>
          <w:rFonts w:hint="eastAsia" w:ascii="微软雅黑" w:hAnsi="微软雅黑" w:eastAsia="微软雅黑" w:cs="宋体"/>
          <w:kern w:val="36"/>
          <w:sz w:val="36"/>
          <w:szCs w:val="36"/>
        </w:rPr>
        <w:t>广西工商技师学院梧州高新技术产业开发区实训基地</w:t>
      </w:r>
    </w:p>
    <w:p>
      <w:pPr>
        <w:widowControl/>
        <w:shd w:val="clear" w:color="auto" w:fill="FFFFFF"/>
        <w:spacing w:line="600" w:lineRule="atLeast"/>
        <w:jc w:val="center"/>
        <w:outlineLvl w:val="0"/>
        <w:rPr>
          <w:rFonts w:ascii="微软雅黑" w:hAnsi="微软雅黑" w:eastAsia="微软雅黑" w:cs="宋体"/>
          <w:kern w:val="36"/>
          <w:sz w:val="48"/>
          <w:szCs w:val="48"/>
        </w:rPr>
      </w:pPr>
      <w:r>
        <w:rPr>
          <w:rFonts w:hint="eastAsia" w:ascii="微软雅黑" w:hAnsi="微软雅黑" w:eastAsia="微软雅黑" w:cs="宋体"/>
          <w:kern w:val="36"/>
          <w:sz w:val="48"/>
          <w:szCs w:val="48"/>
        </w:rPr>
        <w:t>学生宿舍安装空调引资经营竞争性磋商公告</w:t>
      </w:r>
    </w:p>
    <w:p>
      <w:pPr>
        <w:widowControl/>
        <w:shd w:val="clear" w:color="auto" w:fill="FFFFFF"/>
        <w:spacing w:line="600" w:lineRule="atLeast"/>
        <w:jc w:val="center"/>
        <w:outlineLvl w:val="0"/>
        <w:rPr>
          <w:rFonts w:ascii="微软雅黑" w:hAnsi="微软雅黑" w:eastAsia="微软雅黑" w:cs="宋体"/>
          <w:color w:val="0E4A72"/>
          <w:kern w:val="36"/>
          <w:sz w:val="36"/>
          <w:szCs w:val="36"/>
        </w:rPr>
      </w:pPr>
    </w:p>
    <w:p>
      <w:pPr>
        <w:widowControl/>
        <w:shd w:val="clear" w:color="auto" w:fill="FFFFFF"/>
        <w:spacing w:line="56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为了改善和提高学生住宿条件，满足学生对美好生活的需求，增强学校吸引力，应广大学生的要求，经学院领导研究，决定通过面向社会公开招商引资经营方式，对我院校园内学生宿舍进行安装空调建设，欢迎社会各届有资质和实力的企业参加。现方案如下：　　</w:t>
      </w:r>
    </w:p>
    <w:p>
      <w:pPr>
        <w:widowControl/>
        <w:shd w:val="clear" w:color="auto" w:fill="FFFFFF"/>
        <w:spacing w:line="560" w:lineRule="exact"/>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rPr>
        <w:t>一、建设模式：招商引资（BOT）　　</w:t>
      </w:r>
    </w:p>
    <w:p>
      <w:pPr>
        <w:widowControl/>
        <w:shd w:val="clear" w:color="auto" w:fill="FFFFFF"/>
        <w:spacing w:line="560" w:lineRule="exact"/>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二、企业资质要求：</w:t>
      </w:r>
    </w:p>
    <w:p>
      <w:pPr>
        <w:widowControl/>
        <w:shd w:val="clear" w:color="auto" w:fill="FFFFFF"/>
        <w:spacing w:line="56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国内具有家电销售、家电服务或空调安装经营资质的合法企业。</w:t>
      </w:r>
      <w:r>
        <w:rPr>
          <w:rFonts w:hint="eastAsia" w:ascii="宋体" w:hAnsi="宋体" w:eastAsia="宋体" w:cs="宋体"/>
          <w:b/>
          <w:bCs/>
          <w:kern w:val="0"/>
          <w:sz w:val="24"/>
          <w:szCs w:val="24"/>
        </w:rPr>
        <w:t>　　</w:t>
      </w:r>
    </w:p>
    <w:p>
      <w:pPr>
        <w:widowControl/>
        <w:shd w:val="clear" w:color="auto" w:fill="FFFFFF"/>
        <w:spacing w:line="560" w:lineRule="exact"/>
        <w:ind w:firstLine="482" w:firstLineChars="200"/>
        <w:jc w:val="left"/>
        <w:rPr>
          <w:rFonts w:ascii="宋体" w:hAnsi="宋体" w:eastAsia="宋体" w:cs="宋体"/>
          <w:kern w:val="0"/>
          <w:sz w:val="24"/>
          <w:szCs w:val="24"/>
        </w:rPr>
      </w:pPr>
      <w:bookmarkStart w:id="0" w:name="_Toc454985725"/>
      <w:r>
        <w:rPr>
          <w:rFonts w:hint="eastAsia" w:ascii="宋体" w:hAnsi="宋体" w:eastAsia="宋体" w:cs="宋体"/>
          <w:b/>
          <w:bCs/>
          <w:kern w:val="0"/>
          <w:sz w:val="24"/>
          <w:szCs w:val="24"/>
        </w:rPr>
        <w:t>三、招标内容及要求</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rPr>
        <w:t>　　</w:t>
      </w:r>
      <w:bookmarkEnd w:id="0"/>
    </w:p>
    <w:p>
      <w:pPr>
        <w:widowControl/>
        <w:shd w:val="clear" w:color="auto" w:fill="FFFFFF"/>
        <w:spacing w:line="56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1. 实训基地有学生宿舍楼4栋，每栋114间宿舍，总计有456间宿舍，宿舍类型主要为6人间。</w:t>
      </w:r>
    </w:p>
    <w:p>
      <w:pPr>
        <w:widowControl/>
        <w:shd w:val="clear" w:color="auto" w:fill="FFFFFF"/>
        <w:spacing w:line="56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2.分两期建设安装，第一期安装228台，第二期安装228台。　</w:t>
      </w:r>
    </w:p>
    <w:p>
      <w:pPr>
        <w:widowControl/>
        <w:shd w:val="clear" w:color="auto" w:fill="FFFFFF"/>
        <w:spacing w:line="56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3.空调安装所需要的专用排水管、增加铜管量等采购安装。</w:t>
      </w:r>
    </w:p>
    <w:p>
      <w:pPr>
        <w:widowControl/>
        <w:shd w:val="clear" w:color="auto" w:fill="FFFFFF"/>
        <w:spacing w:line="56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4</w:t>
      </w:r>
      <w:r>
        <w:rPr>
          <w:rFonts w:ascii="宋体" w:hAnsi="宋体" w:eastAsia="宋体" w:cs="宋体"/>
          <w:kern w:val="0"/>
          <w:sz w:val="24"/>
          <w:szCs w:val="24"/>
        </w:rPr>
        <w:t>.</w:t>
      </w:r>
      <w:r>
        <w:rPr>
          <w:rFonts w:hint="eastAsia" w:ascii="宋体" w:hAnsi="宋体" w:eastAsia="宋体" w:cs="宋体"/>
          <w:kern w:val="0"/>
          <w:sz w:val="24"/>
          <w:szCs w:val="24"/>
        </w:rPr>
        <w:t>空调品牌：格力空调或美的空调</w:t>
      </w:r>
    </w:p>
    <w:p>
      <w:pPr>
        <w:widowControl/>
        <w:shd w:val="clear" w:color="auto" w:fill="FFFFFF"/>
        <w:spacing w:line="56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5.空调规格：冷暖型大1.5P</w:t>
      </w:r>
    </w:p>
    <w:p>
      <w:pPr>
        <w:widowControl/>
        <w:shd w:val="clear" w:color="auto" w:fill="FFFFFF"/>
        <w:spacing w:line="56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6.本项目不接受任何形式的联合体谈判和转包模式。</w:t>
      </w:r>
    </w:p>
    <w:p>
      <w:pPr>
        <w:widowControl/>
        <w:shd w:val="clear" w:color="auto" w:fill="FFFFFF"/>
        <w:spacing w:line="560" w:lineRule="exact"/>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rPr>
        <w:t>四、资金来源：投资企业自筹资金。　　</w:t>
      </w:r>
    </w:p>
    <w:p>
      <w:pPr>
        <w:widowControl/>
        <w:shd w:val="clear" w:color="auto" w:fill="FFFFFF"/>
        <w:spacing w:line="560" w:lineRule="exact"/>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rPr>
        <w:t>五、合同期限：投标服务期限设为5-7年　　</w:t>
      </w:r>
    </w:p>
    <w:p>
      <w:pPr>
        <w:widowControl/>
        <w:shd w:val="clear" w:color="auto" w:fill="FFFFFF"/>
        <w:spacing w:line="560" w:lineRule="exact"/>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rPr>
        <w:t>六、付款方式和管理模式</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rPr>
        <w:t>　　</w:t>
      </w:r>
    </w:p>
    <w:p>
      <w:pPr>
        <w:widowControl/>
        <w:shd w:val="clear" w:color="auto" w:fill="FFFFFF"/>
        <w:spacing w:line="560" w:lineRule="exact"/>
        <w:ind w:firstLine="480"/>
        <w:jc w:val="left"/>
        <w:rPr>
          <w:rFonts w:ascii="宋体" w:hAnsi="宋体" w:eastAsia="宋体" w:cs="宋体"/>
          <w:kern w:val="0"/>
          <w:sz w:val="24"/>
          <w:szCs w:val="24"/>
        </w:rPr>
      </w:pPr>
      <w:bookmarkStart w:id="1" w:name="_Toc454985726"/>
      <w:r>
        <w:rPr>
          <w:rFonts w:hint="eastAsia" w:ascii="宋体" w:hAnsi="宋体" w:eastAsia="宋体" w:cs="宋体"/>
          <w:kern w:val="0"/>
          <w:sz w:val="24"/>
          <w:szCs w:val="24"/>
        </w:rPr>
        <w:t>1.</w:t>
      </w:r>
      <w:bookmarkEnd w:id="1"/>
      <w:r>
        <w:rPr>
          <w:rFonts w:hint="eastAsia" w:ascii="宋体" w:hAnsi="宋体" w:eastAsia="宋体" w:cs="宋体"/>
          <w:kern w:val="0"/>
          <w:sz w:val="24"/>
          <w:szCs w:val="24"/>
        </w:rPr>
        <w:t>付款方式。安装有空调的宿舍，按入住人数来结算费用，空调使用费标准为150元/（人年），由学校于每年秋学期开学后一个月内统一汇付给投资方。　　</w:t>
      </w:r>
    </w:p>
    <w:p>
      <w:pPr>
        <w:widowControl/>
        <w:shd w:val="clear" w:color="auto" w:fill="FFFFFF"/>
        <w:spacing w:line="56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2.管理模式。在合同期内，投资方投资的设备所有权归其所有，由其自主经营管理，经营过程中所产生的维护维修费由投资方负责，电费由使用学生负责；</w:t>
      </w:r>
    </w:p>
    <w:p>
      <w:pPr>
        <w:widowControl/>
        <w:shd w:val="clear" w:color="auto" w:fill="FFFFFF"/>
        <w:spacing w:line="56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3.本合同期满时，投资方所投入的所有设备所有权归学校所有。届时若校方需聘请专业人员进行经营管理，则原投资方享有优先权，具体模式由双方商定。</w:t>
      </w:r>
    </w:p>
    <w:p>
      <w:pPr>
        <w:widowControl/>
        <w:shd w:val="clear" w:color="auto" w:fill="FFFFFF"/>
        <w:spacing w:line="560" w:lineRule="exact"/>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rPr>
        <w:t>七、质量要求和技术标准</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rPr>
        <w:t>　　</w:t>
      </w:r>
    </w:p>
    <w:p>
      <w:pPr>
        <w:widowControl/>
        <w:shd w:val="clear" w:color="auto" w:fill="FFFFFF"/>
        <w:spacing w:line="56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1．投资方提供的产品及部件必须是全新、未使用过的，产品必须是中国检验合格、并准许在梧州使用的产品。　　</w:t>
      </w:r>
    </w:p>
    <w:p>
      <w:pPr>
        <w:widowControl/>
        <w:shd w:val="clear" w:color="auto" w:fill="FFFFFF"/>
        <w:spacing w:line="56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2.投资方自行完成改造安装工程需达到国家及行业验收规范。　　</w:t>
      </w:r>
    </w:p>
    <w:p>
      <w:pPr>
        <w:widowControl/>
        <w:shd w:val="clear" w:color="auto" w:fill="FFFFFF"/>
        <w:spacing w:line="56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3．本合同中的产品必须符合厂家产品出厂质量标准、国家及有关部门最新颁布的设备国家或行业标准。　　</w:t>
      </w:r>
    </w:p>
    <w:p>
      <w:pPr>
        <w:widowControl/>
        <w:shd w:val="clear" w:color="auto" w:fill="FFFFFF"/>
        <w:spacing w:line="56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4．安装过程投资方需按校方要求施工，空调架、铜管、管道穿墙机械钻孔及套管、预留洞移位及修补的费用由投资方承担。　　</w:t>
      </w:r>
    </w:p>
    <w:p>
      <w:pPr>
        <w:spacing w:line="560" w:lineRule="exact"/>
        <w:ind w:firstLine="482" w:firstLineChars="200"/>
        <w:jc w:val="lef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八、投标文件</w:t>
      </w:r>
      <w:r>
        <w:rPr>
          <w:rFonts w:hint="eastAsia" w:ascii="宋体" w:hAnsi="宋体" w:eastAsia="宋体" w:cs="宋体"/>
          <w:b/>
          <w:bCs/>
          <w:kern w:val="0"/>
          <w:sz w:val="24"/>
          <w:szCs w:val="24"/>
          <w:lang w:eastAsia="zh-CN"/>
        </w:rPr>
        <w:t>：</w:t>
      </w:r>
    </w:p>
    <w:p>
      <w:pPr>
        <w:widowControl/>
        <w:shd w:val="clear" w:color="auto" w:fill="FFFFFF"/>
        <w:spacing w:line="56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一）、投标单位应将投标文件一式一份密封于同一包装袋内，包袋外应注明“广西工商技师学院梧州高新技术产业开发区实训基地学生宿舍安装空调及配套工程引资经营项目投标文件”，并在密封处以白纸密封后加盖骑缝章。投标文件内相关资历材料均应加盖单位印章。</w:t>
      </w:r>
    </w:p>
    <w:p>
      <w:pPr>
        <w:widowControl/>
        <w:shd w:val="clear" w:color="auto" w:fill="FFFFFF"/>
        <w:spacing w:line="56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二）、企业法人营业执照副本、组织机构代码证、税务登记证(三证合一的，只需提供营业执照副本复印件）复印件加盖公章，法定代表人身份证复印件、授权委托书原件及授权代表身份证复印件（加盖公章），报名时必须提供以上材料。备注：材料不齐全者不接受报名</w:t>
      </w:r>
    </w:p>
    <w:p>
      <w:pPr>
        <w:widowControl/>
        <w:shd w:val="clear" w:color="auto" w:fill="FFFFFF"/>
        <w:spacing w:line="56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（三）、投标文件应包含以下项目内容（必须按以下顺序编制装订）：</w:t>
      </w:r>
    </w:p>
    <w:p>
      <w:pPr>
        <w:widowControl/>
        <w:shd w:val="clear" w:color="auto" w:fill="FFFFFF"/>
        <w:spacing w:line="56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1．企业综合实力简介（企业概况、企业实力、企业地址、合作单位及业务等描述）</w:t>
      </w:r>
    </w:p>
    <w:p>
      <w:pPr>
        <w:widowControl/>
        <w:shd w:val="clear" w:color="auto" w:fill="FFFFFF"/>
        <w:spacing w:line="56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2.投标设备信息（设备品牌、型号、规格、技术参数、数量、技术特点等）描述与服务年限描述</w:t>
      </w:r>
    </w:p>
    <w:p>
      <w:pPr>
        <w:widowControl/>
        <w:shd w:val="clear" w:color="auto" w:fill="FFFFFF"/>
        <w:spacing w:line="56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3．详细安装施工方案（安全、规范、合理、实用）</w:t>
      </w:r>
    </w:p>
    <w:p>
      <w:pPr>
        <w:widowControl/>
        <w:shd w:val="clear" w:color="auto" w:fill="FFFFFF"/>
        <w:spacing w:line="56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4．日常管理及售后服务方案（日常管理方案、售后服务方案、售后服务承诺书等）</w:t>
      </w:r>
    </w:p>
    <w:p>
      <w:pPr>
        <w:widowControl/>
        <w:shd w:val="clear" w:color="auto" w:fill="FFFFFF"/>
        <w:spacing w:line="56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5．在学校经营同类项目业绩一览表及相关证明材料（原件备查）。备注：投标时原件另用大信封装好上交。</w:t>
      </w:r>
    </w:p>
    <w:p>
      <w:pPr>
        <w:widowControl/>
        <w:shd w:val="clear" w:color="auto" w:fill="FFFFFF"/>
        <w:spacing w:line="56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6．投标商认为应补充完善的其他未尽事项及材料。</w:t>
      </w:r>
    </w:p>
    <w:p>
      <w:pPr>
        <w:spacing w:line="560" w:lineRule="exact"/>
        <w:ind w:firstLine="482" w:firstLineChars="200"/>
        <w:jc w:val="lef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九、定标方式</w:t>
      </w:r>
      <w:r>
        <w:rPr>
          <w:rFonts w:hint="eastAsia" w:ascii="宋体" w:hAnsi="宋体" w:eastAsia="宋体" w:cs="宋体"/>
          <w:b/>
          <w:bCs/>
          <w:kern w:val="0"/>
          <w:sz w:val="24"/>
          <w:szCs w:val="24"/>
          <w:lang w:eastAsia="zh-CN"/>
        </w:rPr>
        <w:t>：</w:t>
      </w:r>
    </w:p>
    <w:p>
      <w:pPr>
        <w:widowControl/>
        <w:shd w:val="clear" w:color="auto" w:fill="FFFFFF"/>
        <w:spacing w:line="56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学院相关部门代表组成评标小组，对投标文件各项目综合评分，分数最高者中标。</w:t>
      </w:r>
    </w:p>
    <w:p>
      <w:pPr>
        <w:spacing w:line="560" w:lineRule="exact"/>
        <w:ind w:firstLine="482" w:firstLineChars="200"/>
        <w:jc w:val="lef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十、报名方式、竞标截止时间、开标时间及地点</w:t>
      </w:r>
      <w:r>
        <w:rPr>
          <w:rFonts w:hint="eastAsia" w:ascii="宋体" w:hAnsi="宋体" w:eastAsia="宋体" w:cs="宋体"/>
          <w:b/>
          <w:bCs/>
          <w:kern w:val="0"/>
          <w:sz w:val="24"/>
          <w:szCs w:val="24"/>
          <w:lang w:eastAsia="zh-CN"/>
        </w:rPr>
        <w:t>：</w:t>
      </w:r>
    </w:p>
    <w:p>
      <w:pPr>
        <w:widowControl/>
        <w:shd w:val="clear" w:color="auto" w:fill="FFFFFF"/>
        <w:spacing w:line="56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1．报名时间2019年5月21日-5月 27 日（上午8：00－11：50，下午15：0－17：30），请现场报名并提交八（二）条款材料。</w:t>
      </w:r>
    </w:p>
    <w:p>
      <w:pPr>
        <w:widowControl/>
        <w:shd w:val="clear" w:color="auto" w:fill="FFFFFF"/>
        <w:spacing w:line="56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2.学院定于5月 24 日上午10点组织报名单位到实训基地开展现场查勘工作。</w:t>
      </w:r>
    </w:p>
    <w:p>
      <w:pPr>
        <w:widowControl/>
        <w:shd w:val="clear" w:color="auto" w:fill="FFFFFF"/>
        <w:spacing w:line="56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3.投标文件递交起止时间：2019年5月28日上午8时30分至9时00分。竞</w:t>
      </w:r>
    </w:p>
    <w:p>
      <w:pPr>
        <w:widowControl/>
        <w:shd w:val="clear" w:color="auto" w:fill="FFFFFF"/>
        <w:spacing w:line="56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标供应商应于截标时间前，将竞标文件密封提交到竞标地点，逾期送达的将予以拒收。</w:t>
      </w:r>
    </w:p>
    <w:p>
      <w:pPr>
        <w:widowControl/>
        <w:shd w:val="clear" w:color="auto" w:fill="FFFFFF"/>
        <w:spacing w:line="56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4.开标时间：2019年 5 月 28 日上午9：30。</w:t>
      </w:r>
    </w:p>
    <w:p>
      <w:pPr>
        <w:widowControl/>
        <w:shd w:val="clear" w:color="auto" w:fill="FFFFFF"/>
        <w:spacing w:line="56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5.竞标地点：梧州市龙圩区广信路358号广西工商技师学院办公楼会议室 。</w:t>
      </w:r>
    </w:p>
    <w:p>
      <w:pPr>
        <w:spacing w:line="560" w:lineRule="exact"/>
        <w:ind w:firstLine="482" w:firstLineChars="200"/>
        <w:jc w:val="lef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十一、联系事项</w:t>
      </w:r>
      <w:r>
        <w:rPr>
          <w:rFonts w:hint="eastAsia" w:ascii="宋体" w:hAnsi="宋体" w:eastAsia="宋体" w:cs="宋体"/>
          <w:b/>
          <w:bCs/>
          <w:kern w:val="0"/>
          <w:sz w:val="24"/>
          <w:szCs w:val="24"/>
          <w:lang w:eastAsia="zh-CN"/>
        </w:rPr>
        <w:t>：</w:t>
      </w:r>
      <w:bookmarkStart w:id="2" w:name="_GoBack"/>
      <w:bookmarkEnd w:id="2"/>
    </w:p>
    <w:p>
      <w:pPr>
        <w:widowControl/>
        <w:shd w:val="clear" w:color="auto" w:fill="FFFFFF"/>
        <w:spacing w:line="56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采购单位：广西工商技师学院</w:t>
      </w:r>
    </w:p>
    <w:p>
      <w:pPr>
        <w:widowControl/>
        <w:shd w:val="clear" w:color="auto" w:fill="FFFFFF"/>
        <w:spacing w:line="56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地点：梧州市龙圩区广信路358号</w:t>
      </w:r>
    </w:p>
    <w:p>
      <w:pPr>
        <w:widowControl/>
        <w:shd w:val="clear" w:color="auto" w:fill="FFFFFF"/>
        <w:spacing w:line="56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 xml:space="preserve">联系人：龙老师   </w:t>
      </w:r>
    </w:p>
    <w:p>
      <w:pPr>
        <w:widowControl/>
        <w:shd w:val="clear" w:color="auto" w:fill="FFFFFF"/>
        <w:spacing w:line="56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联系电话：0774-2680972</w:t>
      </w:r>
    </w:p>
    <w:p>
      <w:pPr>
        <w:spacing w:line="560" w:lineRule="exact"/>
        <w:jc w:val="left"/>
        <w:rPr>
          <w:rFonts w:ascii="宋体" w:hAnsi="宋体" w:eastAsia="宋体" w:cs="宋体"/>
          <w:bCs/>
          <w:kern w:val="0"/>
          <w:sz w:val="24"/>
          <w:szCs w:val="24"/>
        </w:rPr>
      </w:pPr>
    </w:p>
    <w:p>
      <w:pPr>
        <w:spacing w:line="560" w:lineRule="exact"/>
        <w:jc w:val="left"/>
        <w:rPr>
          <w:rFonts w:ascii="宋体" w:hAnsi="宋体" w:eastAsia="宋体" w:cs="宋体"/>
          <w:bCs/>
          <w:kern w:val="0"/>
          <w:sz w:val="24"/>
          <w:szCs w:val="24"/>
        </w:rPr>
      </w:pPr>
    </w:p>
    <w:p>
      <w:pPr>
        <w:spacing w:line="560" w:lineRule="exact"/>
        <w:jc w:val="left"/>
        <w:rPr>
          <w:rFonts w:ascii="宋体" w:hAnsi="宋体" w:eastAsia="宋体" w:cs="宋体"/>
          <w:bCs/>
          <w:kern w:val="0"/>
          <w:sz w:val="24"/>
          <w:szCs w:val="24"/>
        </w:rPr>
      </w:pPr>
    </w:p>
    <w:p>
      <w:pPr>
        <w:ind w:firstLine="5880" w:firstLineChars="2100"/>
        <w:rPr>
          <w:rFonts w:ascii="微软雅黑" w:hAnsi="微软雅黑" w:eastAsia="微软雅黑" w:cs="宋体"/>
          <w:kern w:val="36"/>
          <w:sz w:val="28"/>
          <w:szCs w:val="28"/>
        </w:rPr>
      </w:pPr>
      <w:r>
        <w:rPr>
          <w:rFonts w:hint="eastAsia" w:ascii="微软雅黑" w:hAnsi="微软雅黑" w:eastAsia="微软雅黑" w:cs="宋体"/>
          <w:kern w:val="36"/>
          <w:sz w:val="28"/>
          <w:szCs w:val="28"/>
        </w:rPr>
        <w:t>广西工商技师学院</w:t>
      </w:r>
    </w:p>
    <w:p>
      <w:pPr>
        <w:ind w:firstLine="4200" w:firstLineChars="1500"/>
        <w:rPr>
          <w:rFonts w:hint="eastAsia" w:ascii="微软雅黑" w:hAnsi="微软雅黑" w:eastAsia="微软雅黑" w:cs="宋体"/>
          <w:kern w:val="36"/>
          <w:sz w:val="28"/>
          <w:szCs w:val="28"/>
        </w:rPr>
      </w:pPr>
      <w:r>
        <w:rPr>
          <w:rFonts w:hint="eastAsia" w:ascii="微软雅黑" w:hAnsi="微软雅黑" w:eastAsia="微软雅黑" w:cs="宋体"/>
          <w:kern w:val="36"/>
          <w:sz w:val="28"/>
          <w:szCs w:val="28"/>
        </w:rPr>
        <w:t xml:space="preserve">               2019.5.21</w:t>
      </w:r>
    </w:p>
    <w:p>
      <w:pPr>
        <w:ind w:firstLine="4200" w:firstLineChars="1500"/>
        <w:rPr>
          <w:rFonts w:hint="eastAsia" w:ascii="微软雅黑" w:hAnsi="微软雅黑" w:eastAsia="微软雅黑" w:cs="宋体"/>
          <w:kern w:val="36"/>
          <w:sz w:val="28"/>
          <w:szCs w:val="28"/>
        </w:rPr>
      </w:pPr>
    </w:p>
    <w:p>
      <w:pPr>
        <w:ind w:firstLine="4200" w:firstLineChars="1500"/>
        <w:rPr>
          <w:rFonts w:ascii="微软雅黑" w:hAnsi="微软雅黑" w:eastAsia="微软雅黑" w:cs="宋体"/>
          <w:kern w:val="36"/>
          <w:sz w:val="28"/>
          <w:szCs w:val="28"/>
        </w:rPr>
      </w:pPr>
    </w:p>
    <w:p>
      <w:pPr>
        <w:jc w:val="center"/>
        <w:rPr>
          <w:rFonts w:ascii="微软雅黑" w:hAnsi="微软雅黑" w:eastAsia="微软雅黑" w:cs="宋体"/>
          <w:kern w:val="36"/>
          <w:sz w:val="36"/>
          <w:szCs w:val="36"/>
        </w:rPr>
      </w:pPr>
      <w:r>
        <w:rPr>
          <w:rFonts w:hint="eastAsia" w:ascii="微软雅黑" w:hAnsi="微软雅黑" w:eastAsia="微软雅黑" w:cs="宋体"/>
          <w:kern w:val="36"/>
          <w:sz w:val="36"/>
          <w:szCs w:val="36"/>
        </w:rPr>
        <w:t>评分标准</w:t>
      </w:r>
    </w:p>
    <w:tbl>
      <w:tblPr>
        <w:tblStyle w:val="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6804"/>
        <w:gridCol w:w="127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trPr>
        <w:tc>
          <w:tcPr>
            <w:tcW w:w="959" w:type="dxa"/>
            <w:shd w:val="clear" w:color="auto" w:fill="auto"/>
            <w:vAlign w:val="top"/>
          </w:tcPr>
          <w:p>
            <w:pPr>
              <w:jc w:val="center"/>
              <w:rPr>
                <w:rFonts w:ascii="微软雅黑" w:hAnsi="微软雅黑" w:eastAsia="微软雅黑" w:cs="宋体"/>
                <w:kern w:val="36"/>
                <w:sz w:val="24"/>
                <w:szCs w:val="24"/>
              </w:rPr>
            </w:pPr>
            <w:r>
              <w:rPr>
                <w:rFonts w:hint="eastAsia" w:ascii="微软雅黑" w:hAnsi="微软雅黑" w:eastAsia="微软雅黑" w:cs="宋体"/>
                <w:kern w:val="36"/>
                <w:sz w:val="24"/>
                <w:szCs w:val="24"/>
              </w:rPr>
              <w:t>序号</w:t>
            </w:r>
          </w:p>
        </w:tc>
        <w:tc>
          <w:tcPr>
            <w:tcW w:w="6804" w:type="dxa"/>
            <w:shd w:val="clear" w:color="auto" w:fill="auto"/>
            <w:vAlign w:val="top"/>
          </w:tcPr>
          <w:p>
            <w:pPr>
              <w:jc w:val="center"/>
              <w:rPr>
                <w:rFonts w:ascii="微软雅黑" w:hAnsi="微软雅黑" w:eastAsia="微软雅黑" w:cs="宋体"/>
                <w:kern w:val="36"/>
                <w:sz w:val="24"/>
                <w:szCs w:val="24"/>
              </w:rPr>
            </w:pPr>
            <w:r>
              <w:rPr>
                <w:rFonts w:hint="eastAsia" w:ascii="微软雅黑" w:hAnsi="微软雅黑" w:eastAsia="微软雅黑" w:cs="宋体"/>
                <w:kern w:val="36"/>
                <w:sz w:val="24"/>
                <w:szCs w:val="24"/>
              </w:rPr>
              <w:t>评分标准</w:t>
            </w:r>
          </w:p>
        </w:tc>
        <w:tc>
          <w:tcPr>
            <w:tcW w:w="1276" w:type="dxa"/>
            <w:shd w:val="clear" w:color="auto" w:fill="auto"/>
            <w:vAlign w:val="top"/>
          </w:tcPr>
          <w:p>
            <w:pPr>
              <w:jc w:val="center"/>
              <w:rPr>
                <w:rFonts w:ascii="微软雅黑" w:hAnsi="微软雅黑" w:eastAsia="微软雅黑" w:cs="宋体"/>
                <w:kern w:val="36"/>
                <w:sz w:val="24"/>
                <w:szCs w:val="24"/>
              </w:rPr>
            </w:pPr>
            <w:r>
              <w:rPr>
                <w:rFonts w:hint="eastAsia" w:ascii="微软雅黑" w:hAnsi="微软雅黑" w:eastAsia="微软雅黑" w:cs="宋体"/>
                <w:kern w:val="36"/>
                <w:sz w:val="24"/>
                <w:szCs w:val="24"/>
              </w:rPr>
              <w:t>标准配分</w:t>
            </w:r>
          </w:p>
        </w:tc>
        <w:tc>
          <w:tcPr>
            <w:tcW w:w="850" w:type="dxa"/>
            <w:shd w:val="clear" w:color="auto" w:fill="auto"/>
            <w:vAlign w:val="top"/>
          </w:tcPr>
          <w:p>
            <w:pPr>
              <w:jc w:val="center"/>
              <w:rPr>
                <w:rFonts w:ascii="微软雅黑" w:hAnsi="微软雅黑" w:eastAsia="微软雅黑" w:cs="宋体"/>
                <w:kern w:val="36"/>
                <w:sz w:val="24"/>
                <w:szCs w:val="24"/>
              </w:rPr>
            </w:pPr>
            <w:r>
              <w:rPr>
                <w:rFonts w:hint="eastAsia" w:ascii="微软雅黑" w:hAnsi="微软雅黑" w:eastAsia="微软雅黑" w:cs="宋体"/>
                <w:kern w:val="36"/>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tcPr>
          <w:p>
            <w:pPr>
              <w:jc w:val="center"/>
              <w:rPr>
                <w:rFonts w:ascii="微软雅黑" w:hAnsi="微软雅黑" w:eastAsia="微软雅黑" w:cs="宋体"/>
                <w:kern w:val="36"/>
                <w:sz w:val="24"/>
                <w:szCs w:val="24"/>
              </w:rPr>
            </w:pPr>
            <w:r>
              <w:rPr>
                <w:rFonts w:hint="eastAsia" w:ascii="微软雅黑" w:hAnsi="微软雅黑" w:eastAsia="微软雅黑" w:cs="宋体"/>
                <w:kern w:val="36"/>
                <w:sz w:val="24"/>
                <w:szCs w:val="24"/>
              </w:rPr>
              <w:t>1</w:t>
            </w:r>
          </w:p>
        </w:tc>
        <w:tc>
          <w:tcPr>
            <w:tcW w:w="6804" w:type="dxa"/>
            <w:shd w:val="clear" w:color="auto" w:fill="auto"/>
          </w:tcPr>
          <w:p>
            <w:pPr>
              <w:rPr>
                <w:rFonts w:ascii="微软雅黑" w:hAnsi="微软雅黑" w:eastAsia="微软雅黑" w:cs="宋体"/>
                <w:b/>
                <w:kern w:val="36"/>
                <w:sz w:val="24"/>
                <w:szCs w:val="24"/>
              </w:rPr>
            </w:pPr>
            <w:r>
              <w:rPr>
                <w:rFonts w:hint="eastAsia" w:ascii="微软雅黑" w:hAnsi="微软雅黑" w:eastAsia="微软雅黑" w:cs="宋体"/>
                <w:b/>
                <w:kern w:val="36"/>
                <w:sz w:val="24"/>
                <w:szCs w:val="24"/>
              </w:rPr>
              <w:t>产品品牌与服务年限</w:t>
            </w:r>
          </w:p>
        </w:tc>
        <w:tc>
          <w:tcPr>
            <w:tcW w:w="1276" w:type="dxa"/>
            <w:shd w:val="clear" w:color="auto" w:fill="auto"/>
          </w:tcPr>
          <w:p>
            <w:pPr>
              <w:jc w:val="center"/>
              <w:rPr>
                <w:rFonts w:ascii="微软雅黑" w:hAnsi="微软雅黑" w:eastAsia="微软雅黑" w:cs="宋体"/>
                <w:kern w:val="36"/>
                <w:sz w:val="24"/>
                <w:szCs w:val="24"/>
              </w:rPr>
            </w:pPr>
            <w:r>
              <w:rPr>
                <w:rFonts w:hint="eastAsia" w:ascii="微软雅黑" w:hAnsi="微软雅黑" w:eastAsia="微软雅黑" w:cs="宋体"/>
                <w:kern w:val="36"/>
                <w:sz w:val="24"/>
                <w:szCs w:val="24"/>
              </w:rPr>
              <w:t>30</w:t>
            </w:r>
          </w:p>
        </w:tc>
        <w:tc>
          <w:tcPr>
            <w:tcW w:w="850" w:type="dxa"/>
            <w:shd w:val="clear" w:color="auto" w:fill="auto"/>
          </w:tcPr>
          <w:p>
            <w:pPr>
              <w:jc w:val="center"/>
              <w:rPr>
                <w:rFonts w:ascii="微软雅黑" w:hAnsi="微软雅黑" w:eastAsia="微软雅黑" w:cs="宋体"/>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tcPr>
          <w:p>
            <w:pPr>
              <w:jc w:val="center"/>
              <w:rPr>
                <w:rFonts w:ascii="微软雅黑" w:hAnsi="微软雅黑" w:eastAsia="微软雅黑" w:cs="宋体"/>
                <w:kern w:val="36"/>
                <w:sz w:val="24"/>
                <w:szCs w:val="24"/>
              </w:rPr>
            </w:pPr>
            <w:r>
              <w:rPr>
                <w:rFonts w:hint="eastAsia" w:ascii="微软雅黑" w:hAnsi="微软雅黑" w:eastAsia="微软雅黑" w:cs="宋体"/>
                <w:kern w:val="36"/>
                <w:sz w:val="24"/>
                <w:szCs w:val="24"/>
              </w:rPr>
              <w:t>1.1</w:t>
            </w:r>
          </w:p>
        </w:tc>
        <w:tc>
          <w:tcPr>
            <w:tcW w:w="6804" w:type="dxa"/>
            <w:shd w:val="clear" w:color="auto" w:fill="auto"/>
          </w:tcPr>
          <w:p>
            <w:pPr>
              <w:rPr>
                <w:rFonts w:ascii="微软雅黑" w:hAnsi="微软雅黑" w:eastAsia="微软雅黑" w:cs="宋体"/>
                <w:kern w:val="36"/>
                <w:sz w:val="24"/>
                <w:szCs w:val="24"/>
              </w:rPr>
            </w:pPr>
            <w:r>
              <w:rPr>
                <w:rFonts w:hint="eastAsia" w:ascii="微软雅黑" w:hAnsi="微软雅黑" w:eastAsia="微软雅黑" w:cs="宋体"/>
                <w:kern w:val="36"/>
                <w:sz w:val="24"/>
                <w:szCs w:val="24"/>
              </w:rPr>
              <w:t>品牌与经营年限：</w:t>
            </w:r>
          </w:p>
          <w:p>
            <w:pPr>
              <w:pStyle w:val="11"/>
              <w:numPr>
                <w:ilvl w:val="0"/>
                <w:numId w:val="1"/>
              </w:numPr>
              <w:ind w:firstLineChars="0"/>
              <w:rPr>
                <w:rFonts w:ascii="微软雅黑" w:hAnsi="微软雅黑" w:eastAsia="微软雅黑" w:cs="宋体"/>
                <w:kern w:val="36"/>
                <w:sz w:val="24"/>
                <w:szCs w:val="24"/>
              </w:rPr>
            </w:pPr>
            <w:r>
              <w:rPr>
                <w:rFonts w:hint="eastAsia" w:ascii="微软雅黑" w:hAnsi="微软雅黑" w:eastAsia="微软雅黑" w:cs="宋体"/>
                <w:kern w:val="36"/>
                <w:sz w:val="24"/>
                <w:szCs w:val="24"/>
              </w:rPr>
              <w:t>格力空调7年20分；6年25分；5年30分。</w:t>
            </w:r>
          </w:p>
          <w:p>
            <w:pPr>
              <w:pStyle w:val="11"/>
              <w:numPr>
                <w:ilvl w:val="0"/>
                <w:numId w:val="1"/>
              </w:numPr>
              <w:ind w:firstLineChars="0"/>
              <w:rPr>
                <w:rFonts w:ascii="微软雅黑" w:hAnsi="微软雅黑" w:eastAsia="微软雅黑" w:cs="宋体"/>
                <w:kern w:val="36"/>
                <w:sz w:val="24"/>
                <w:szCs w:val="24"/>
              </w:rPr>
            </w:pPr>
            <w:r>
              <w:rPr>
                <w:rFonts w:hint="eastAsia" w:ascii="微软雅黑" w:hAnsi="微软雅黑" w:eastAsia="微软雅黑" w:cs="宋体"/>
                <w:kern w:val="36"/>
                <w:sz w:val="24"/>
                <w:szCs w:val="24"/>
              </w:rPr>
              <w:t>美的空调7年10分；6年15分；5年20分。</w:t>
            </w:r>
          </w:p>
        </w:tc>
        <w:tc>
          <w:tcPr>
            <w:tcW w:w="1276" w:type="dxa"/>
            <w:shd w:val="clear" w:color="auto" w:fill="auto"/>
          </w:tcPr>
          <w:p>
            <w:pPr>
              <w:jc w:val="center"/>
              <w:rPr>
                <w:rFonts w:ascii="微软雅黑" w:hAnsi="微软雅黑" w:eastAsia="微软雅黑" w:cs="宋体"/>
                <w:kern w:val="36"/>
                <w:sz w:val="24"/>
                <w:szCs w:val="24"/>
              </w:rPr>
            </w:pPr>
          </w:p>
          <w:p>
            <w:pPr>
              <w:jc w:val="center"/>
              <w:rPr>
                <w:rFonts w:ascii="微软雅黑" w:hAnsi="微软雅黑" w:eastAsia="微软雅黑" w:cs="宋体"/>
                <w:kern w:val="36"/>
                <w:sz w:val="24"/>
                <w:szCs w:val="24"/>
              </w:rPr>
            </w:pPr>
            <w:r>
              <w:rPr>
                <w:rFonts w:hint="eastAsia" w:ascii="微软雅黑" w:hAnsi="微软雅黑" w:eastAsia="微软雅黑" w:cs="宋体"/>
                <w:kern w:val="36"/>
                <w:sz w:val="24"/>
                <w:szCs w:val="24"/>
              </w:rPr>
              <w:t>30</w:t>
            </w:r>
          </w:p>
        </w:tc>
        <w:tc>
          <w:tcPr>
            <w:tcW w:w="850" w:type="dxa"/>
            <w:shd w:val="clear" w:color="auto" w:fill="auto"/>
          </w:tcPr>
          <w:p>
            <w:pPr>
              <w:jc w:val="center"/>
              <w:rPr>
                <w:rFonts w:ascii="微软雅黑" w:hAnsi="微软雅黑" w:eastAsia="微软雅黑" w:cs="宋体"/>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tcPr>
          <w:p>
            <w:pPr>
              <w:jc w:val="center"/>
              <w:rPr>
                <w:rFonts w:ascii="微软雅黑" w:hAnsi="微软雅黑" w:eastAsia="微软雅黑" w:cs="宋体"/>
                <w:kern w:val="36"/>
                <w:sz w:val="24"/>
                <w:szCs w:val="24"/>
              </w:rPr>
            </w:pPr>
            <w:r>
              <w:rPr>
                <w:rFonts w:hint="eastAsia" w:ascii="微软雅黑" w:hAnsi="微软雅黑" w:eastAsia="微软雅黑" w:cs="宋体"/>
                <w:kern w:val="36"/>
                <w:sz w:val="24"/>
                <w:szCs w:val="24"/>
              </w:rPr>
              <w:t>2</w:t>
            </w:r>
          </w:p>
        </w:tc>
        <w:tc>
          <w:tcPr>
            <w:tcW w:w="6804" w:type="dxa"/>
            <w:shd w:val="clear" w:color="auto" w:fill="auto"/>
          </w:tcPr>
          <w:p>
            <w:pPr>
              <w:rPr>
                <w:rFonts w:ascii="微软雅黑" w:hAnsi="微软雅黑" w:eastAsia="微软雅黑" w:cs="宋体"/>
                <w:b/>
                <w:kern w:val="36"/>
                <w:sz w:val="24"/>
                <w:szCs w:val="24"/>
              </w:rPr>
            </w:pPr>
            <w:r>
              <w:rPr>
                <w:rFonts w:hint="eastAsia" w:ascii="微软雅黑" w:hAnsi="微软雅黑" w:eastAsia="微软雅黑" w:cs="宋体"/>
                <w:b/>
                <w:kern w:val="36"/>
                <w:sz w:val="24"/>
                <w:szCs w:val="24"/>
              </w:rPr>
              <w:t>投标设备信息</w:t>
            </w:r>
          </w:p>
        </w:tc>
        <w:tc>
          <w:tcPr>
            <w:tcW w:w="1276" w:type="dxa"/>
            <w:shd w:val="clear" w:color="auto" w:fill="auto"/>
          </w:tcPr>
          <w:p>
            <w:pPr>
              <w:jc w:val="center"/>
              <w:rPr>
                <w:rFonts w:ascii="微软雅黑" w:hAnsi="微软雅黑" w:eastAsia="微软雅黑" w:cs="宋体"/>
                <w:kern w:val="36"/>
                <w:sz w:val="24"/>
                <w:szCs w:val="24"/>
              </w:rPr>
            </w:pPr>
            <w:r>
              <w:rPr>
                <w:rFonts w:hint="eastAsia" w:ascii="微软雅黑" w:hAnsi="微软雅黑" w:eastAsia="微软雅黑" w:cs="宋体"/>
                <w:kern w:val="36"/>
                <w:sz w:val="24"/>
                <w:szCs w:val="24"/>
              </w:rPr>
              <w:t>5</w:t>
            </w:r>
          </w:p>
        </w:tc>
        <w:tc>
          <w:tcPr>
            <w:tcW w:w="850" w:type="dxa"/>
            <w:shd w:val="clear" w:color="auto" w:fill="auto"/>
          </w:tcPr>
          <w:p>
            <w:pPr>
              <w:jc w:val="center"/>
              <w:rPr>
                <w:rFonts w:ascii="微软雅黑" w:hAnsi="微软雅黑" w:eastAsia="微软雅黑" w:cs="宋体"/>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tcPr>
          <w:p>
            <w:pPr>
              <w:jc w:val="center"/>
              <w:rPr>
                <w:rFonts w:ascii="微软雅黑" w:hAnsi="微软雅黑" w:eastAsia="微软雅黑" w:cs="宋体"/>
                <w:kern w:val="36"/>
                <w:sz w:val="24"/>
                <w:szCs w:val="24"/>
              </w:rPr>
            </w:pPr>
            <w:r>
              <w:rPr>
                <w:rFonts w:hint="eastAsia" w:ascii="微软雅黑" w:hAnsi="微软雅黑" w:eastAsia="微软雅黑" w:cs="宋体"/>
                <w:kern w:val="36"/>
                <w:sz w:val="24"/>
                <w:szCs w:val="24"/>
              </w:rPr>
              <w:t>2.1</w:t>
            </w:r>
          </w:p>
        </w:tc>
        <w:tc>
          <w:tcPr>
            <w:tcW w:w="6804" w:type="dxa"/>
            <w:shd w:val="clear" w:color="auto" w:fill="auto"/>
          </w:tcPr>
          <w:p>
            <w:pPr>
              <w:rPr>
                <w:rFonts w:ascii="微软雅黑" w:hAnsi="微软雅黑" w:eastAsia="微软雅黑" w:cs="宋体"/>
                <w:kern w:val="36"/>
                <w:sz w:val="24"/>
                <w:szCs w:val="24"/>
              </w:rPr>
            </w:pPr>
            <w:r>
              <w:rPr>
                <w:rFonts w:hint="eastAsia" w:ascii="微软雅黑" w:hAnsi="微软雅黑" w:eastAsia="微软雅黑" w:cs="宋体"/>
                <w:kern w:val="36"/>
                <w:sz w:val="24"/>
                <w:szCs w:val="24"/>
              </w:rPr>
              <w:t>详细描述设备详细参数（</w:t>
            </w:r>
            <w:r>
              <w:rPr>
                <w:rFonts w:hint="eastAsia" w:ascii="宋体" w:hAnsi="宋体" w:eastAsia="宋体" w:cs="宋体"/>
                <w:bCs/>
                <w:kern w:val="0"/>
                <w:sz w:val="24"/>
                <w:szCs w:val="24"/>
              </w:rPr>
              <w:t>型号、规格、技术参数</w:t>
            </w:r>
            <w:r>
              <w:rPr>
                <w:rFonts w:hint="eastAsia" w:ascii="微软雅黑" w:hAnsi="微软雅黑" w:eastAsia="微软雅黑" w:cs="宋体"/>
                <w:kern w:val="36"/>
                <w:sz w:val="24"/>
                <w:szCs w:val="24"/>
              </w:rPr>
              <w:t>）、数量、技术特点等。一档：3.1-5分；二档：3-2.1分；三档：2-1分</w:t>
            </w:r>
          </w:p>
        </w:tc>
        <w:tc>
          <w:tcPr>
            <w:tcW w:w="1276" w:type="dxa"/>
            <w:shd w:val="clear" w:color="auto" w:fill="auto"/>
          </w:tcPr>
          <w:p>
            <w:pPr>
              <w:jc w:val="center"/>
              <w:rPr>
                <w:rFonts w:ascii="微软雅黑" w:hAnsi="微软雅黑" w:eastAsia="微软雅黑" w:cs="宋体"/>
                <w:kern w:val="36"/>
                <w:sz w:val="24"/>
                <w:szCs w:val="24"/>
              </w:rPr>
            </w:pPr>
            <w:r>
              <w:rPr>
                <w:rFonts w:hint="eastAsia" w:ascii="微软雅黑" w:hAnsi="微软雅黑" w:eastAsia="微软雅黑" w:cs="宋体"/>
                <w:kern w:val="36"/>
                <w:sz w:val="24"/>
                <w:szCs w:val="24"/>
              </w:rPr>
              <w:t>5</w:t>
            </w:r>
          </w:p>
        </w:tc>
        <w:tc>
          <w:tcPr>
            <w:tcW w:w="850" w:type="dxa"/>
            <w:shd w:val="clear" w:color="auto" w:fill="auto"/>
          </w:tcPr>
          <w:p>
            <w:pPr>
              <w:jc w:val="center"/>
              <w:rPr>
                <w:rFonts w:ascii="微软雅黑" w:hAnsi="微软雅黑" w:eastAsia="微软雅黑" w:cs="宋体"/>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tcPr>
          <w:p>
            <w:pPr>
              <w:ind w:firstLine="240" w:firstLineChars="100"/>
              <w:jc w:val="center"/>
              <w:rPr>
                <w:rFonts w:ascii="微软雅黑" w:hAnsi="微软雅黑" w:eastAsia="微软雅黑" w:cs="宋体"/>
                <w:kern w:val="36"/>
                <w:sz w:val="24"/>
                <w:szCs w:val="24"/>
              </w:rPr>
            </w:pPr>
            <w:r>
              <w:rPr>
                <w:rFonts w:hint="eastAsia" w:ascii="微软雅黑" w:hAnsi="微软雅黑" w:eastAsia="微软雅黑" w:cs="宋体"/>
                <w:kern w:val="36"/>
                <w:sz w:val="24"/>
                <w:szCs w:val="24"/>
              </w:rPr>
              <w:t>3</w:t>
            </w:r>
          </w:p>
        </w:tc>
        <w:tc>
          <w:tcPr>
            <w:tcW w:w="6804" w:type="dxa"/>
            <w:shd w:val="clear" w:color="auto" w:fill="auto"/>
          </w:tcPr>
          <w:p>
            <w:pPr>
              <w:rPr>
                <w:rFonts w:ascii="微软雅黑" w:hAnsi="微软雅黑" w:eastAsia="微软雅黑" w:cs="宋体"/>
                <w:b/>
                <w:kern w:val="36"/>
                <w:sz w:val="24"/>
                <w:szCs w:val="24"/>
              </w:rPr>
            </w:pPr>
            <w:r>
              <w:rPr>
                <w:rFonts w:hint="eastAsia" w:ascii="微软雅黑" w:hAnsi="微软雅黑" w:eastAsia="微软雅黑" w:cs="宋体"/>
                <w:b/>
                <w:kern w:val="36"/>
                <w:sz w:val="24"/>
                <w:szCs w:val="24"/>
              </w:rPr>
              <w:t>详细安装施工方案</w:t>
            </w:r>
          </w:p>
        </w:tc>
        <w:tc>
          <w:tcPr>
            <w:tcW w:w="1276" w:type="dxa"/>
            <w:shd w:val="clear" w:color="auto" w:fill="auto"/>
          </w:tcPr>
          <w:p>
            <w:pPr>
              <w:jc w:val="center"/>
              <w:rPr>
                <w:rFonts w:ascii="微软雅黑" w:hAnsi="微软雅黑" w:eastAsia="微软雅黑" w:cs="宋体"/>
                <w:kern w:val="36"/>
                <w:sz w:val="24"/>
                <w:szCs w:val="24"/>
              </w:rPr>
            </w:pPr>
            <w:r>
              <w:rPr>
                <w:rFonts w:hint="eastAsia" w:ascii="微软雅黑" w:hAnsi="微软雅黑" w:eastAsia="微软雅黑" w:cs="宋体"/>
                <w:kern w:val="36"/>
                <w:sz w:val="24"/>
                <w:szCs w:val="24"/>
              </w:rPr>
              <w:t>10</w:t>
            </w:r>
          </w:p>
        </w:tc>
        <w:tc>
          <w:tcPr>
            <w:tcW w:w="850" w:type="dxa"/>
            <w:shd w:val="clear" w:color="auto" w:fill="auto"/>
          </w:tcPr>
          <w:p>
            <w:pPr>
              <w:rPr>
                <w:rFonts w:ascii="微软雅黑" w:hAnsi="微软雅黑" w:eastAsia="微软雅黑" w:cs="宋体"/>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trPr>
        <w:tc>
          <w:tcPr>
            <w:tcW w:w="959" w:type="dxa"/>
            <w:shd w:val="clear" w:color="auto" w:fill="auto"/>
          </w:tcPr>
          <w:p>
            <w:pPr>
              <w:jc w:val="center"/>
              <w:rPr>
                <w:rFonts w:ascii="微软雅黑" w:hAnsi="微软雅黑" w:eastAsia="微软雅黑" w:cs="宋体"/>
                <w:kern w:val="36"/>
                <w:sz w:val="24"/>
                <w:szCs w:val="24"/>
              </w:rPr>
            </w:pPr>
          </w:p>
          <w:p>
            <w:pPr>
              <w:ind w:firstLine="120" w:firstLineChars="50"/>
              <w:jc w:val="center"/>
              <w:rPr>
                <w:rFonts w:ascii="微软雅黑" w:hAnsi="微软雅黑" w:eastAsia="微软雅黑" w:cs="宋体"/>
                <w:kern w:val="36"/>
                <w:sz w:val="24"/>
                <w:szCs w:val="24"/>
              </w:rPr>
            </w:pPr>
            <w:r>
              <w:rPr>
                <w:rFonts w:hint="eastAsia" w:ascii="微软雅黑" w:hAnsi="微软雅黑" w:eastAsia="微软雅黑" w:cs="宋体"/>
                <w:kern w:val="36"/>
                <w:sz w:val="24"/>
                <w:szCs w:val="24"/>
              </w:rPr>
              <w:t>3.1</w:t>
            </w:r>
          </w:p>
        </w:tc>
        <w:tc>
          <w:tcPr>
            <w:tcW w:w="6804" w:type="dxa"/>
            <w:shd w:val="clear" w:color="auto" w:fill="auto"/>
          </w:tcPr>
          <w:p>
            <w:pPr>
              <w:rPr>
                <w:rFonts w:ascii="微软雅黑" w:hAnsi="微软雅黑" w:eastAsia="微软雅黑" w:cs="宋体"/>
                <w:kern w:val="36"/>
                <w:sz w:val="24"/>
                <w:szCs w:val="24"/>
              </w:rPr>
            </w:pPr>
            <w:r>
              <w:rPr>
                <w:rFonts w:hint="eastAsia" w:ascii="微软雅黑" w:hAnsi="微软雅黑" w:eastAsia="微软雅黑" w:cs="宋体"/>
                <w:kern w:val="36"/>
                <w:sz w:val="24"/>
                <w:szCs w:val="24"/>
              </w:rPr>
              <w:t>详细可行的安装施工方案描述：包括总体施工规划、施工方案与实施、检测与验收等。</w:t>
            </w:r>
          </w:p>
          <w:p>
            <w:pPr>
              <w:rPr>
                <w:rFonts w:ascii="微软雅黑" w:hAnsi="微软雅黑" w:eastAsia="微软雅黑" w:cs="宋体"/>
                <w:kern w:val="36"/>
                <w:sz w:val="24"/>
                <w:szCs w:val="24"/>
              </w:rPr>
            </w:pPr>
            <w:r>
              <w:rPr>
                <w:rFonts w:hint="eastAsia" w:ascii="微软雅黑" w:hAnsi="微软雅黑" w:eastAsia="微软雅黑" w:cs="宋体"/>
                <w:kern w:val="36"/>
                <w:sz w:val="24"/>
                <w:szCs w:val="24"/>
              </w:rPr>
              <w:t>一档：7.1-10分；二档：7-4.1分；三档：4-1分</w:t>
            </w:r>
          </w:p>
        </w:tc>
        <w:tc>
          <w:tcPr>
            <w:tcW w:w="1276" w:type="dxa"/>
            <w:shd w:val="clear" w:color="auto" w:fill="auto"/>
          </w:tcPr>
          <w:p>
            <w:pPr>
              <w:ind w:firstLine="240" w:firstLineChars="100"/>
              <w:jc w:val="center"/>
              <w:rPr>
                <w:rFonts w:ascii="微软雅黑" w:hAnsi="微软雅黑" w:eastAsia="微软雅黑" w:cs="宋体"/>
                <w:kern w:val="36"/>
                <w:sz w:val="24"/>
                <w:szCs w:val="24"/>
              </w:rPr>
            </w:pPr>
          </w:p>
          <w:p>
            <w:pPr>
              <w:ind w:firstLine="240" w:firstLineChars="100"/>
              <w:jc w:val="center"/>
              <w:rPr>
                <w:rFonts w:ascii="微软雅黑" w:hAnsi="微软雅黑" w:eastAsia="微软雅黑" w:cs="宋体"/>
                <w:kern w:val="36"/>
                <w:sz w:val="24"/>
                <w:szCs w:val="24"/>
              </w:rPr>
            </w:pPr>
            <w:r>
              <w:rPr>
                <w:rFonts w:hint="eastAsia" w:ascii="微软雅黑" w:hAnsi="微软雅黑" w:eastAsia="微软雅黑" w:cs="宋体"/>
                <w:kern w:val="36"/>
                <w:sz w:val="24"/>
                <w:szCs w:val="24"/>
              </w:rPr>
              <w:t>10</w:t>
            </w:r>
          </w:p>
        </w:tc>
        <w:tc>
          <w:tcPr>
            <w:tcW w:w="850" w:type="dxa"/>
            <w:shd w:val="clear" w:color="auto" w:fill="auto"/>
          </w:tcPr>
          <w:p>
            <w:pPr>
              <w:rPr>
                <w:rFonts w:ascii="微软雅黑" w:hAnsi="微软雅黑" w:eastAsia="微软雅黑" w:cs="宋体"/>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959" w:type="dxa"/>
            <w:shd w:val="clear" w:color="auto" w:fill="auto"/>
          </w:tcPr>
          <w:p>
            <w:pPr>
              <w:jc w:val="center"/>
              <w:rPr>
                <w:rFonts w:ascii="微软雅黑" w:hAnsi="微软雅黑" w:eastAsia="微软雅黑" w:cs="宋体"/>
                <w:kern w:val="36"/>
                <w:sz w:val="24"/>
                <w:szCs w:val="24"/>
              </w:rPr>
            </w:pPr>
            <w:r>
              <w:rPr>
                <w:rFonts w:hint="eastAsia" w:ascii="微软雅黑" w:hAnsi="微软雅黑" w:eastAsia="微软雅黑" w:cs="宋体"/>
                <w:kern w:val="36"/>
                <w:sz w:val="24"/>
                <w:szCs w:val="24"/>
              </w:rPr>
              <w:t>4</w:t>
            </w:r>
          </w:p>
        </w:tc>
        <w:tc>
          <w:tcPr>
            <w:tcW w:w="6804" w:type="dxa"/>
            <w:shd w:val="clear" w:color="auto" w:fill="auto"/>
          </w:tcPr>
          <w:p>
            <w:pPr>
              <w:rPr>
                <w:rFonts w:ascii="微软雅黑" w:hAnsi="微软雅黑" w:eastAsia="微软雅黑" w:cs="宋体"/>
                <w:b/>
                <w:kern w:val="36"/>
                <w:sz w:val="24"/>
                <w:szCs w:val="24"/>
              </w:rPr>
            </w:pPr>
            <w:r>
              <w:rPr>
                <w:rFonts w:hint="eastAsia" w:ascii="微软雅黑" w:hAnsi="微软雅黑" w:eastAsia="微软雅黑" w:cs="宋体"/>
                <w:b/>
                <w:kern w:val="36"/>
                <w:sz w:val="24"/>
                <w:szCs w:val="24"/>
              </w:rPr>
              <w:t>日常管理及售后服务</w:t>
            </w:r>
          </w:p>
        </w:tc>
        <w:tc>
          <w:tcPr>
            <w:tcW w:w="1276" w:type="dxa"/>
            <w:shd w:val="clear" w:color="auto" w:fill="auto"/>
          </w:tcPr>
          <w:p>
            <w:pPr>
              <w:jc w:val="center"/>
              <w:rPr>
                <w:rFonts w:ascii="微软雅黑" w:hAnsi="微软雅黑" w:eastAsia="微软雅黑" w:cs="宋体"/>
                <w:kern w:val="36"/>
                <w:sz w:val="24"/>
                <w:szCs w:val="24"/>
              </w:rPr>
            </w:pPr>
            <w:r>
              <w:rPr>
                <w:rFonts w:hint="eastAsia" w:ascii="微软雅黑" w:hAnsi="微软雅黑" w:eastAsia="微软雅黑" w:cs="宋体"/>
                <w:kern w:val="36"/>
                <w:sz w:val="24"/>
                <w:szCs w:val="24"/>
              </w:rPr>
              <w:t>25</w:t>
            </w:r>
          </w:p>
        </w:tc>
        <w:tc>
          <w:tcPr>
            <w:tcW w:w="850" w:type="dxa"/>
            <w:shd w:val="clear" w:color="auto" w:fill="auto"/>
          </w:tcPr>
          <w:p>
            <w:pPr>
              <w:rPr>
                <w:rFonts w:ascii="微软雅黑" w:hAnsi="微软雅黑" w:eastAsia="微软雅黑" w:cs="宋体"/>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959" w:type="dxa"/>
            <w:shd w:val="clear" w:color="auto" w:fill="auto"/>
          </w:tcPr>
          <w:p>
            <w:pPr>
              <w:jc w:val="center"/>
              <w:rPr>
                <w:rFonts w:ascii="微软雅黑" w:hAnsi="微软雅黑" w:eastAsia="微软雅黑" w:cs="宋体"/>
                <w:kern w:val="36"/>
                <w:sz w:val="24"/>
                <w:szCs w:val="24"/>
              </w:rPr>
            </w:pPr>
          </w:p>
          <w:p>
            <w:pPr>
              <w:jc w:val="center"/>
              <w:rPr>
                <w:rFonts w:ascii="微软雅黑" w:hAnsi="微软雅黑" w:eastAsia="微软雅黑" w:cs="宋体"/>
                <w:kern w:val="36"/>
                <w:sz w:val="24"/>
                <w:szCs w:val="24"/>
              </w:rPr>
            </w:pPr>
            <w:r>
              <w:rPr>
                <w:rFonts w:hint="eastAsia" w:ascii="微软雅黑" w:hAnsi="微软雅黑" w:eastAsia="微软雅黑" w:cs="宋体"/>
                <w:kern w:val="36"/>
                <w:sz w:val="24"/>
                <w:szCs w:val="24"/>
              </w:rPr>
              <w:t>4</w:t>
            </w:r>
            <w:r>
              <w:rPr>
                <w:rFonts w:ascii="微软雅黑" w:hAnsi="微软雅黑" w:eastAsia="微软雅黑" w:cs="宋体"/>
                <w:kern w:val="36"/>
                <w:sz w:val="24"/>
                <w:szCs w:val="24"/>
              </w:rPr>
              <w:t>.1</w:t>
            </w:r>
          </w:p>
        </w:tc>
        <w:tc>
          <w:tcPr>
            <w:tcW w:w="6804" w:type="dxa"/>
            <w:shd w:val="clear" w:color="auto" w:fill="auto"/>
          </w:tcPr>
          <w:p>
            <w:pPr>
              <w:rPr>
                <w:rFonts w:ascii="微软雅黑" w:hAnsi="微软雅黑" w:eastAsia="微软雅黑" w:cs="宋体"/>
                <w:b/>
                <w:kern w:val="36"/>
                <w:sz w:val="24"/>
                <w:szCs w:val="24"/>
              </w:rPr>
            </w:pPr>
            <w:r>
              <w:rPr>
                <w:rFonts w:hint="eastAsia" w:ascii="微软雅黑" w:hAnsi="微软雅黑" w:eastAsia="微软雅黑" w:cs="宋体"/>
                <w:kern w:val="36"/>
                <w:sz w:val="24"/>
                <w:szCs w:val="24"/>
              </w:rPr>
              <w:t>有完善可行的日常管理实施方案及售后服务实施方案、售后服务承诺书，15分；一档：10.1-15分；二档：5.1-10分；三档：5-1分</w:t>
            </w:r>
          </w:p>
        </w:tc>
        <w:tc>
          <w:tcPr>
            <w:tcW w:w="1276" w:type="dxa"/>
            <w:shd w:val="clear" w:color="auto" w:fill="auto"/>
          </w:tcPr>
          <w:p>
            <w:pPr>
              <w:jc w:val="center"/>
              <w:rPr>
                <w:rFonts w:ascii="微软雅黑" w:hAnsi="微软雅黑" w:eastAsia="微软雅黑" w:cs="宋体"/>
                <w:kern w:val="36"/>
                <w:sz w:val="24"/>
                <w:szCs w:val="24"/>
              </w:rPr>
            </w:pPr>
            <w:r>
              <w:rPr>
                <w:rFonts w:hint="eastAsia" w:ascii="微软雅黑" w:hAnsi="微软雅黑" w:eastAsia="微软雅黑" w:cs="宋体"/>
                <w:kern w:val="36"/>
                <w:sz w:val="24"/>
                <w:szCs w:val="24"/>
              </w:rPr>
              <w:t>15</w:t>
            </w:r>
          </w:p>
          <w:p>
            <w:pPr>
              <w:jc w:val="center"/>
              <w:rPr>
                <w:rFonts w:ascii="微软雅黑" w:hAnsi="微软雅黑" w:eastAsia="微软雅黑" w:cs="宋体"/>
                <w:kern w:val="36"/>
                <w:sz w:val="24"/>
                <w:szCs w:val="24"/>
              </w:rPr>
            </w:pPr>
          </w:p>
        </w:tc>
        <w:tc>
          <w:tcPr>
            <w:tcW w:w="850" w:type="dxa"/>
            <w:shd w:val="clear" w:color="auto" w:fill="auto"/>
          </w:tcPr>
          <w:p>
            <w:pPr>
              <w:rPr>
                <w:rFonts w:ascii="微软雅黑" w:hAnsi="微软雅黑" w:eastAsia="微软雅黑" w:cs="宋体"/>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959" w:type="dxa"/>
            <w:shd w:val="clear" w:color="auto" w:fill="auto"/>
          </w:tcPr>
          <w:p>
            <w:pPr>
              <w:jc w:val="center"/>
              <w:rPr>
                <w:rFonts w:ascii="微软雅黑" w:hAnsi="微软雅黑" w:eastAsia="微软雅黑" w:cs="宋体"/>
                <w:kern w:val="36"/>
                <w:sz w:val="24"/>
                <w:szCs w:val="24"/>
              </w:rPr>
            </w:pPr>
            <w:r>
              <w:rPr>
                <w:rFonts w:hint="eastAsia" w:ascii="微软雅黑" w:hAnsi="微软雅黑" w:eastAsia="微软雅黑" w:cs="宋体"/>
                <w:kern w:val="36"/>
                <w:sz w:val="24"/>
                <w:szCs w:val="24"/>
              </w:rPr>
              <w:t>4.2</w:t>
            </w:r>
          </w:p>
        </w:tc>
        <w:tc>
          <w:tcPr>
            <w:tcW w:w="6804" w:type="dxa"/>
            <w:shd w:val="clear" w:color="auto" w:fill="auto"/>
          </w:tcPr>
          <w:p>
            <w:pPr>
              <w:rPr>
                <w:rFonts w:ascii="微软雅黑" w:hAnsi="微软雅黑" w:eastAsia="微软雅黑" w:cs="宋体"/>
                <w:kern w:val="36"/>
                <w:sz w:val="24"/>
                <w:szCs w:val="24"/>
              </w:rPr>
            </w:pPr>
            <w:r>
              <w:rPr>
                <w:rFonts w:hint="eastAsia" w:ascii="微软雅黑" w:hAnsi="微软雅黑" w:eastAsia="微软雅黑" w:cs="宋体"/>
                <w:kern w:val="36"/>
                <w:sz w:val="24"/>
                <w:szCs w:val="24"/>
              </w:rPr>
              <w:t>在学校配备常驻专人管理，5分；一档：3.1-5分；二档：3-2.1分；三档：2-1分</w:t>
            </w:r>
          </w:p>
        </w:tc>
        <w:tc>
          <w:tcPr>
            <w:tcW w:w="1276" w:type="dxa"/>
            <w:shd w:val="clear" w:color="auto" w:fill="auto"/>
          </w:tcPr>
          <w:p>
            <w:pPr>
              <w:jc w:val="center"/>
              <w:rPr>
                <w:rFonts w:ascii="微软雅黑" w:hAnsi="微软雅黑" w:eastAsia="微软雅黑" w:cs="宋体"/>
                <w:kern w:val="36"/>
                <w:sz w:val="24"/>
                <w:szCs w:val="24"/>
              </w:rPr>
            </w:pPr>
            <w:r>
              <w:rPr>
                <w:rFonts w:hint="eastAsia" w:ascii="微软雅黑" w:hAnsi="微软雅黑" w:eastAsia="微软雅黑" w:cs="宋体"/>
                <w:kern w:val="36"/>
                <w:sz w:val="24"/>
                <w:szCs w:val="24"/>
              </w:rPr>
              <w:t>5</w:t>
            </w:r>
          </w:p>
        </w:tc>
        <w:tc>
          <w:tcPr>
            <w:tcW w:w="850" w:type="dxa"/>
            <w:shd w:val="clear" w:color="auto" w:fill="auto"/>
          </w:tcPr>
          <w:p>
            <w:pPr>
              <w:rPr>
                <w:rFonts w:ascii="微软雅黑" w:hAnsi="微软雅黑" w:eastAsia="微软雅黑" w:cs="宋体"/>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3" w:hRule="atLeast"/>
        </w:trPr>
        <w:tc>
          <w:tcPr>
            <w:tcW w:w="959" w:type="dxa"/>
            <w:shd w:val="clear" w:color="auto" w:fill="auto"/>
          </w:tcPr>
          <w:p>
            <w:pPr>
              <w:jc w:val="center"/>
              <w:rPr>
                <w:rFonts w:ascii="微软雅黑" w:hAnsi="微软雅黑" w:eastAsia="微软雅黑" w:cs="宋体"/>
                <w:kern w:val="36"/>
                <w:sz w:val="24"/>
                <w:szCs w:val="24"/>
              </w:rPr>
            </w:pPr>
            <w:r>
              <w:rPr>
                <w:rFonts w:hint="eastAsia" w:ascii="微软雅黑" w:hAnsi="微软雅黑" w:eastAsia="微软雅黑" w:cs="宋体"/>
                <w:kern w:val="36"/>
                <w:sz w:val="24"/>
                <w:szCs w:val="24"/>
              </w:rPr>
              <w:t>4</w:t>
            </w:r>
            <w:r>
              <w:rPr>
                <w:rFonts w:ascii="微软雅黑" w:hAnsi="微软雅黑" w:eastAsia="微软雅黑" w:cs="宋体"/>
                <w:kern w:val="36"/>
                <w:sz w:val="24"/>
                <w:szCs w:val="24"/>
              </w:rPr>
              <w:t>.</w:t>
            </w:r>
            <w:r>
              <w:rPr>
                <w:rFonts w:hint="eastAsia" w:ascii="微软雅黑" w:hAnsi="微软雅黑" w:eastAsia="微软雅黑" w:cs="宋体"/>
                <w:kern w:val="36"/>
                <w:sz w:val="24"/>
                <w:szCs w:val="24"/>
              </w:rPr>
              <w:t>3</w:t>
            </w:r>
          </w:p>
        </w:tc>
        <w:tc>
          <w:tcPr>
            <w:tcW w:w="6804" w:type="dxa"/>
            <w:shd w:val="clear" w:color="auto" w:fill="auto"/>
          </w:tcPr>
          <w:p>
            <w:pPr>
              <w:rPr>
                <w:rFonts w:ascii="微软雅黑" w:hAnsi="微软雅黑" w:eastAsia="微软雅黑" w:cs="宋体"/>
                <w:kern w:val="36"/>
                <w:sz w:val="24"/>
                <w:szCs w:val="24"/>
              </w:rPr>
            </w:pPr>
            <w:r>
              <w:rPr>
                <w:rFonts w:hint="eastAsia" w:ascii="微软雅黑" w:hAnsi="微软雅黑" w:eastAsia="微软雅黑" w:cs="宋体"/>
                <w:kern w:val="36"/>
                <w:sz w:val="24"/>
                <w:szCs w:val="24"/>
              </w:rPr>
              <w:t>在广西（梧州市除外）设有固定售后维护服务机构网络， 3分</w:t>
            </w:r>
          </w:p>
          <w:p>
            <w:pPr>
              <w:rPr>
                <w:rFonts w:ascii="微软雅黑" w:hAnsi="微软雅黑" w:eastAsia="微软雅黑" w:cs="宋体"/>
                <w:kern w:val="36"/>
                <w:sz w:val="24"/>
                <w:szCs w:val="24"/>
              </w:rPr>
            </w:pPr>
            <w:r>
              <w:rPr>
                <w:rFonts w:hint="eastAsia" w:ascii="微软雅黑" w:hAnsi="微软雅黑" w:eastAsia="微软雅黑" w:cs="宋体"/>
                <w:kern w:val="36"/>
                <w:sz w:val="24"/>
                <w:szCs w:val="24"/>
              </w:rPr>
              <w:t>在梧州市设有固定售后维护服务机构网络， 5分</w:t>
            </w:r>
          </w:p>
          <w:p>
            <w:pPr>
              <w:rPr>
                <w:rFonts w:ascii="微软雅黑" w:hAnsi="微软雅黑" w:eastAsia="微软雅黑" w:cs="宋体"/>
                <w:kern w:val="36"/>
                <w:sz w:val="24"/>
                <w:szCs w:val="24"/>
              </w:rPr>
            </w:pPr>
            <w:r>
              <w:rPr>
                <w:rFonts w:hint="eastAsia" w:ascii="微软雅黑" w:hAnsi="微软雅黑" w:eastAsia="微软雅黑" w:cs="宋体"/>
                <w:kern w:val="36"/>
                <w:sz w:val="24"/>
                <w:szCs w:val="24"/>
              </w:rPr>
              <w:t>其它地区：0分</w:t>
            </w:r>
          </w:p>
        </w:tc>
        <w:tc>
          <w:tcPr>
            <w:tcW w:w="1276" w:type="dxa"/>
            <w:shd w:val="clear" w:color="auto" w:fill="auto"/>
          </w:tcPr>
          <w:p>
            <w:pPr>
              <w:jc w:val="center"/>
              <w:rPr>
                <w:rFonts w:ascii="微软雅黑" w:hAnsi="微软雅黑" w:eastAsia="微软雅黑" w:cs="宋体"/>
                <w:kern w:val="36"/>
                <w:sz w:val="24"/>
                <w:szCs w:val="24"/>
              </w:rPr>
            </w:pPr>
            <w:r>
              <w:rPr>
                <w:rFonts w:hint="eastAsia" w:ascii="微软雅黑" w:hAnsi="微软雅黑" w:eastAsia="微软雅黑" w:cs="宋体"/>
                <w:kern w:val="36"/>
                <w:sz w:val="24"/>
                <w:szCs w:val="24"/>
              </w:rPr>
              <w:t>5</w:t>
            </w:r>
          </w:p>
        </w:tc>
        <w:tc>
          <w:tcPr>
            <w:tcW w:w="850" w:type="dxa"/>
            <w:shd w:val="clear" w:color="auto" w:fill="auto"/>
          </w:tcPr>
          <w:p>
            <w:pPr>
              <w:rPr>
                <w:rFonts w:ascii="微软雅黑" w:hAnsi="微软雅黑" w:eastAsia="微软雅黑" w:cs="宋体"/>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tcPr>
          <w:p>
            <w:pPr>
              <w:jc w:val="center"/>
              <w:rPr>
                <w:rFonts w:ascii="微软雅黑" w:hAnsi="微软雅黑" w:eastAsia="微软雅黑" w:cs="宋体"/>
                <w:kern w:val="36"/>
                <w:sz w:val="24"/>
                <w:szCs w:val="24"/>
              </w:rPr>
            </w:pPr>
            <w:r>
              <w:rPr>
                <w:rFonts w:hint="eastAsia" w:ascii="微软雅黑" w:hAnsi="微软雅黑" w:eastAsia="微软雅黑" w:cs="宋体"/>
                <w:kern w:val="36"/>
                <w:sz w:val="24"/>
                <w:szCs w:val="24"/>
              </w:rPr>
              <w:t>5</w:t>
            </w:r>
          </w:p>
        </w:tc>
        <w:tc>
          <w:tcPr>
            <w:tcW w:w="6804" w:type="dxa"/>
            <w:shd w:val="clear" w:color="auto" w:fill="auto"/>
          </w:tcPr>
          <w:p>
            <w:pPr>
              <w:rPr>
                <w:rFonts w:ascii="微软雅黑" w:hAnsi="微软雅黑" w:eastAsia="微软雅黑" w:cs="宋体"/>
                <w:b/>
                <w:kern w:val="36"/>
                <w:sz w:val="24"/>
                <w:szCs w:val="24"/>
              </w:rPr>
            </w:pPr>
            <w:r>
              <w:rPr>
                <w:rFonts w:hint="eastAsia" w:ascii="微软雅黑" w:hAnsi="微软雅黑" w:eastAsia="微软雅黑" w:cs="宋体"/>
                <w:b/>
                <w:kern w:val="36"/>
                <w:sz w:val="24"/>
                <w:szCs w:val="24"/>
              </w:rPr>
              <w:t>业绩</w:t>
            </w:r>
          </w:p>
        </w:tc>
        <w:tc>
          <w:tcPr>
            <w:tcW w:w="1276" w:type="dxa"/>
            <w:shd w:val="clear" w:color="auto" w:fill="auto"/>
          </w:tcPr>
          <w:p>
            <w:pPr>
              <w:jc w:val="center"/>
              <w:rPr>
                <w:rFonts w:ascii="微软雅黑" w:hAnsi="微软雅黑" w:eastAsia="微软雅黑" w:cs="宋体"/>
                <w:kern w:val="36"/>
                <w:sz w:val="24"/>
                <w:szCs w:val="24"/>
              </w:rPr>
            </w:pPr>
            <w:r>
              <w:rPr>
                <w:rFonts w:hint="eastAsia" w:ascii="微软雅黑" w:hAnsi="微软雅黑" w:eastAsia="微软雅黑" w:cs="宋体"/>
                <w:kern w:val="36"/>
                <w:sz w:val="24"/>
                <w:szCs w:val="24"/>
              </w:rPr>
              <w:t>25</w:t>
            </w:r>
          </w:p>
        </w:tc>
        <w:tc>
          <w:tcPr>
            <w:tcW w:w="850" w:type="dxa"/>
            <w:shd w:val="clear" w:color="auto" w:fill="auto"/>
          </w:tcPr>
          <w:p>
            <w:pPr>
              <w:rPr>
                <w:rFonts w:ascii="微软雅黑" w:hAnsi="微软雅黑" w:eastAsia="微软雅黑" w:cs="宋体"/>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tcPr>
          <w:p>
            <w:pPr>
              <w:jc w:val="center"/>
              <w:rPr>
                <w:rFonts w:ascii="微软雅黑" w:hAnsi="微软雅黑" w:eastAsia="微软雅黑" w:cs="宋体"/>
                <w:kern w:val="36"/>
                <w:sz w:val="24"/>
                <w:szCs w:val="24"/>
              </w:rPr>
            </w:pPr>
            <w:r>
              <w:rPr>
                <w:rFonts w:hint="eastAsia" w:ascii="微软雅黑" w:hAnsi="微软雅黑" w:eastAsia="微软雅黑" w:cs="宋体"/>
                <w:kern w:val="36"/>
                <w:sz w:val="24"/>
                <w:szCs w:val="24"/>
              </w:rPr>
              <w:t>5.1</w:t>
            </w:r>
          </w:p>
        </w:tc>
        <w:tc>
          <w:tcPr>
            <w:tcW w:w="6804" w:type="dxa"/>
            <w:shd w:val="clear" w:color="auto" w:fill="auto"/>
          </w:tcPr>
          <w:p>
            <w:pPr>
              <w:rPr>
                <w:rFonts w:ascii="微软雅黑" w:hAnsi="微软雅黑" w:eastAsia="微软雅黑" w:cs="宋体"/>
                <w:kern w:val="36"/>
                <w:sz w:val="24"/>
                <w:szCs w:val="24"/>
              </w:rPr>
            </w:pPr>
            <w:r>
              <w:rPr>
                <w:rFonts w:hint="eastAsia" w:ascii="微软雅黑" w:hAnsi="微软雅黑" w:eastAsia="微软雅黑" w:cs="宋体"/>
                <w:kern w:val="36"/>
                <w:sz w:val="24"/>
                <w:szCs w:val="24"/>
              </w:rPr>
              <w:t>2015-2019年在广西同类学校有完成同类项目的得10分，若有两个以上，每完成一个同类项目再增加2分，总计不超过20分。无原件此项不得分。</w:t>
            </w:r>
          </w:p>
        </w:tc>
        <w:tc>
          <w:tcPr>
            <w:tcW w:w="1276" w:type="dxa"/>
            <w:shd w:val="clear" w:color="auto" w:fill="auto"/>
          </w:tcPr>
          <w:p>
            <w:pPr>
              <w:ind w:firstLine="360" w:firstLineChars="150"/>
              <w:rPr>
                <w:rFonts w:ascii="微软雅黑" w:hAnsi="微软雅黑" w:eastAsia="微软雅黑" w:cs="宋体"/>
                <w:kern w:val="36"/>
                <w:sz w:val="24"/>
                <w:szCs w:val="24"/>
              </w:rPr>
            </w:pPr>
            <w:r>
              <w:rPr>
                <w:rFonts w:hint="eastAsia" w:ascii="微软雅黑" w:hAnsi="微软雅黑" w:eastAsia="微软雅黑" w:cs="宋体"/>
                <w:kern w:val="36"/>
                <w:sz w:val="24"/>
                <w:szCs w:val="24"/>
              </w:rPr>
              <w:t>20</w:t>
            </w:r>
          </w:p>
        </w:tc>
        <w:tc>
          <w:tcPr>
            <w:tcW w:w="850" w:type="dxa"/>
            <w:shd w:val="clear" w:color="auto" w:fill="auto"/>
          </w:tcPr>
          <w:p>
            <w:pPr>
              <w:rPr>
                <w:rFonts w:ascii="微软雅黑" w:hAnsi="微软雅黑" w:eastAsia="微软雅黑" w:cs="宋体"/>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tcPr>
          <w:p>
            <w:pPr>
              <w:jc w:val="center"/>
              <w:rPr>
                <w:rFonts w:ascii="微软雅黑" w:hAnsi="微软雅黑" w:eastAsia="微软雅黑" w:cs="宋体"/>
                <w:kern w:val="36"/>
                <w:sz w:val="24"/>
                <w:szCs w:val="24"/>
              </w:rPr>
            </w:pPr>
          </w:p>
          <w:p>
            <w:pPr>
              <w:jc w:val="center"/>
              <w:rPr>
                <w:rFonts w:ascii="微软雅黑" w:hAnsi="微软雅黑" w:eastAsia="微软雅黑" w:cs="宋体"/>
                <w:kern w:val="36"/>
                <w:sz w:val="24"/>
                <w:szCs w:val="24"/>
              </w:rPr>
            </w:pPr>
            <w:r>
              <w:rPr>
                <w:rFonts w:hint="eastAsia" w:ascii="微软雅黑" w:hAnsi="微软雅黑" w:eastAsia="微软雅黑" w:cs="宋体"/>
                <w:kern w:val="36"/>
                <w:sz w:val="24"/>
                <w:szCs w:val="24"/>
              </w:rPr>
              <w:t>5.2</w:t>
            </w:r>
          </w:p>
        </w:tc>
        <w:tc>
          <w:tcPr>
            <w:tcW w:w="6804" w:type="dxa"/>
            <w:shd w:val="clear" w:color="auto" w:fill="auto"/>
          </w:tcPr>
          <w:p>
            <w:pPr>
              <w:rPr>
                <w:rFonts w:ascii="微软雅黑" w:hAnsi="微软雅黑" w:eastAsia="微软雅黑" w:cs="宋体"/>
                <w:kern w:val="36"/>
                <w:sz w:val="24"/>
                <w:szCs w:val="24"/>
              </w:rPr>
            </w:pPr>
            <w:r>
              <w:rPr>
                <w:rFonts w:hint="eastAsia" w:ascii="微软雅黑" w:hAnsi="微软雅黑" w:eastAsia="微软雅黑" w:cs="宋体"/>
                <w:kern w:val="36"/>
                <w:sz w:val="24"/>
                <w:szCs w:val="24"/>
              </w:rPr>
              <w:t>2015-2019年在广西同类学校完成同类的项目中，按所签订合同已实施的年限计分，每服务完成一年得1分。总计不超过5分。无原件此项不得分。</w:t>
            </w:r>
          </w:p>
        </w:tc>
        <w:tc>
          <w:tcPr>
            <w:tcW w:w="1276" w:type="dxa"/>
            <w:shd w:val="clear" w:color="auto" w:fill="auto"/>
          </w:tcPr>
          <w:p>
            <w:pPr>
              <w:ind w:firstLine="360" w:firstLineChars="150"/>
              <w:rPr>
                <w:rFonts w:ascii="微软雅黑" w:hAnsi="微软雅黑" w:eastAsia="微软雅黑" w:cs="宋体"/>
                <w:kern w:val="36"/>
                <w:sz w:val="24"/>
                <w:szCs w:val="24"/>
              </w:rPr>
            </w:pPr>
            <w:r>
              <w:rPr>
                <w:rFonts w:hint="eastAsia" w:ascii="微软雅黑" w:hAnsi="微软雅黑" w:eastAsia="微软雅黑" w:cs="宋体"/>
                <w:kern w:val="36"/>
                <w:sz w:val="24"/>
                <w:szCs w:val="24"/>
              </w:rPr>
              <w:t>5</w:t>
            </w:r>
          </w:p>
        </w:tc>
        <w:tc>
          <w:tcPr>
            <w:tcW w:w="850" w:type="dxa"/>
            <w:shd w:val="clear" w:color="auto" w:fill="auto"/>
          </w:tcPr>
          <w:p>
            <w:pPr>
              <w:rPr>
                <w:rFonts w:ascii="微软雅黑" w:hAnsi="微软雅黑" w:eastAsia="微软雅黑" w:cs="宋体"/>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tcPr>
          <w:p>
            <w:pPr>
              <w:jc w:val="center"/>
              <w:rPr>
                <w:rFonts w:ascii="微软雅黑" w:hAnsi="微软雅黑" w:eastAsia="微软雅黑" w:cs="宋体"/>
                <w:kern w:val="36"/>
                <w:sz w:val="24"/>
                <w:szCs w:val="24"/>
              </w:rPr>
            </w:pPr>
            <w:r>
              <w:rPr>
                <w:rFonts w:hint="eastAsia" w:ascii="微软雅黑" w:hAnsi="微软雅黑" w:eastAsia="微软雅黑" w:cs="宋体"/>
                <w:kern w:val="36"/>
                <w:sz w:val="24"/>
                <w:szCs w:val="24"/>
              </w:rPr>
              <w:t>6</w:t>
            </w:r>
          </w:p>
        </w:tc>
        <w:tc>
          <w:tcPr>
            <w:tcW w:w="6804" w:type="dxa"/>
            <w:shd w:val="clear" w:color="auto" w:fill="auto"/>
          </w:tcPr>
          <w:p>
            <w:pPr>
              <w:rPr>
                <w:rFonts w:ascii="微软雅黑" w:hAnsi="微软雅黑" w:eastAsia="微软雅黑" w:cs="宋体"/>
                <w:b/>
                <w:kern w:val="36"/>
                <w:sz w:val="24"/>
                <w:szCs w:val="24"/>
              </w:rPr>
            </w:pPr>
            <w:r>
              <w:rPr>
                <w:rFonts w:hint="eastAsia" w:ascii="微软雅黑" w:hAnsi="微软雅黑" w:eastAsia="微软雅黑" w:cs="宋体"/>
                <w:b/>
                <w:kern w:val="36"/>
                <w:sz w:val="24"/>
                <w:szCs w:val="24"/>
              </w:rPr>
              <w:t>加分项</w:t>
            </w:r>
          </w:p>
        </w:tc>
        <w:tc>
          <w:tcPr>
            <w:tcW w:w="1276" w:type="dxa"/>
            <w:shd w:val="clear" w:color="auto" w:fill="auto"/>
          </w:tcPr>
          <w:p>
            <w:pPr>
              <w:ind w:firstLine="360" w:firstLineChars="150"/>
              <w:rPr>
                <w:rFonts w:ascii="微软雅黑" w:hAnsi="微软雅黑" w:eastAsia="微软雅黑" w:cs="宋体"/>
                <w:kern w:val="36"/>
                <w:sz w:val="24"/>
                <w:szCs w:val="24"/>
              </w:rPr>
            </w:pPr>
            <w:r>
              <w:rPr>
                <w:rFonts w:hint="eastAsia" w:ascii="微软雅黑" w:hAnsi="微软雅黑" w:eastAsia="微软雅黑" w:cs="宋体"/>
                <w:kern w:val="36"/>
                <w:sz w:val="24"/>
                <w:szCs w:val="24"/>
              </w:rPr>
              <w:t>5</w:t>
            </w:r>
          </w:p>
        </w:tc>
        <w:tc>
          <w:tcPr>
            <w:tcW w:w="850" w:type="dxa"/>
            <w:shd w:val="clear" w:color="auto" w:fill="auto"/>
          </w:tcPr>
          <w:p>
            <w:pPr>
              <w:rPr>
                <w:rFonts w:ascii="微软雅黑" w:hAnsi="微软雅黑" w:eastAsia="微软雅黑" w:cs="宋体"/>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shd w:val="clear" w:color="auto" w:fill="auto"/>
          </w:tcPr>
          <w:p>
            <w:pPr>
              <w:jc w:val="center"/>
              <w:rPr>
                <w:rFonts w:ascii="微软雅黑" w:hAnsi="微软雅黑" w:eastAsia="微软雅黑" w:cs="宋体"/>
                <w:kern w:val="36"/>
                <w:sz w:val="24"/>
                <w:szCs w:val="24"/>
              </w:rPr>
            </w:pPr>
            <w:r>
              <w:rPr>
                <w:rFonts w:hint="eastAsia" w:ascii="微软雅黑" w:hAnsi="微软雅黑" w:eastAsia="微软雅黑" w:cs="宋体"/>
                <w:kern w:val="36"/>
                <w:sz w:val="24"/>
                <w:szCs w:val="24"/>
              </w:rPr>
              <w:t>6.1</w:t>
            </w:r>
          </w:p>
        </w:tc>
        <w:tc>
          <w:tcPr>
            <w:tcW w:w="6804" w:type="dxa"/>
            <w:shd w:val="clear" w:color="auto" w:fill="auto"/>
          </w:tcPr>
          <w:p>
            <w:pPr>
              <w:rPr>
                <w:rFonts w:ascii="微软雅黑" w:hAnsi="微软雅黑" w:eastAsia="微软雅黑" w:cs="宋体"/>
                <w:kern w:val="36"/>
                <w:sz w:val="24"/>
                <w:szCs w:val="24"/>
              </w:rPr>
            </w:pPr>
            <w:r>
              <w:rPr>
                <w:rFonts w:hint="eastAsia" w:ascii="微软雅黑" w:hAnsi="微软雅黑" w:eastAsia="微软雅黑" w:cs="宋体"/>
                <w:kern w:val="36"/>
                <w:sz w:val="24"/>
                <w:szCs w:val="24"/>
              </w:rPr>
              <w:t>投标商认为应补充完善的其他未尽事项及材料</w:t>
            </w:r>
          </w:p>
          <w:p>
            <w:pPr>
              <w:rPr>
                <w:rFonts w:ascii="微软雅黑" w:hAnsi="微软雅黑" w:eastAsia="微软雅黑" w:cs="宋体"/>
                <w:kern w:val="36"/>
                <w:sz w:val="24"/>
                <w:szCs w:val="24"/>
              </w:rPr>
            </w:pPr>
            <w:r>
              <w:rPr>
                <w:rFonts w:hint="eastAsia" w:ascii="微软雅黑" w:hAnsi="微软雅黑" w:eastAsia="微软雅黑" w:cs="宋体"/>
                <w:kern w:val="36"/>
                <w:sz w:val="24"/>
                <w:szCs w:val="24"/>
              </w:rPr>
              <w:t>一档：3.1-5分；二档：3-2.1分；三档：2-1分</w:t>
            </w:r>
          </w:p>
        </w:tc>
        <w:tc>
          <w:tcPr>
            <w:tcW w:w="1276" w:type="dxa"/>
            <w:shd w:val="clear" w:color="auto" w:fill="auto"/>
          </w:tcPr>
          <w:p>
            <w:pPr>
              <w:ind w:firstLine="360" w:firstLineChars="150"/>
              <w:rPr>
                <w:rFonts w:ascii="微软雅黑" w:hAnsi="微软雅黑" w:eastAsia="微软雅黑" w:cs="宋体"/>
                <w:kern w:val="36"/>
                <w:sz w:val="24"/>
                <w:szCs w:val="24"/>
              </w:rPr>
            </w:pPr>
            <w:r>
              <w:rPr>
                <w:rFonts w:hint="eastAsia" w:ascii="微软雅黑" w:hAnsi="微软雅黑" w:eastAsia="微软雅黑" w:cs="宋体"/>
                <w:kern w:val="36"/>
                <w:sz w:val="24"/>
                <w:szCs w:val="24"/>
              </w:rPr>
              <w:t>5</w:t>
            </w:r>
          </w:p>
        </w:tc>
        <w:tc>
          <w:tcPr>
            <w:tcW w:w="850" w:type="dxa"/>
            <w:shd w:val="clear" w:color="auto" w:fill="auto"/>
          </w:tcPr>
          <w:p>
            <w:pPr>
              <w:rPr>
                <w:rFonts w:ascii="微软雅黑" w:hAnsi="微软雅黑" w:eastAsia="微软雅黑" w:cs="宋体"/>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3" w:type="dxa"/>
            <w:gridSpan w:val="2"/>
            <w:shd w:val="clear" w:color="auto" w:fill="auto"/>
          </w:tcPr>
          <w:p>
            <w:pPr>
              <w:jc w:val="center"/>
              <w:rPr>
                <w:rFonts w:ascii="微软雅黑" w:hAnsi="微软雅黑" w:eastAsia="微软雅黑" w:cs="宋体"/>
                <w:kern w:val="36"/>
                <w:sz w:val="24"/>
                <w:szCs w:val="24"/>
              </w:rPr>
            </w:pPr>
            <w:r>
              <w:rPr>
                <w:rFonts w:hint="eastAsia" w:ascii="微软雅黑" w:hAnsi="微软雅黑" w:eastAsia="微软雅黑" w:cs="宋体"/>
                <w:kern w:val="36"/>
                <w:sz w:val="24"/>
                <w:szCs w:val="24"/>
              </w:rPr>
              <w:t>合计</w:t>
            </w:r>
          </w:p>
        </w:tc>
        <w:tc>
          <w:tcPr>
            <w:tcW w:w="1276" w:type="dxa"/>
            <w:shd w:val="clear" w:color="auto" w:fill="auto"/>
          </w:tcPr>
          <w:p>
            <w:pPr>
              <w:jc w:val="center"/>
              <w:rPr>
                <w:rFonts w:ascii="微软雅黑" w:hAnsi="微软雅黑" w:eastAsia="微软雅黑" w:cs="宋体"/>
                <w:kern w:val="36"/>
                <w:sz w:val="24"/>
                <w:szCs w:val="24"/>
              </w:rPr>
            </w:pPr>
            <w:r>
              <w:rPr>
                <w:rFonts w:hint="eastAsia" w:ascii="微软雅黑" w:hAnsi="微软雅黑" w:eastAsia="微软雅黑" w:cs="宋体"/>
                <w:kern w:val="36"/>
                <w:sz w:val="24"/>
                <w:szCs w:val="24"/>
              </w:rPr>
              <w:t>100</w:t>
            </w:r>
          </w:p>
        </w:tc>
        <w:tc>
          <w:tcPr>
            <w:tcW w:w="850" w:type="dxa"/>
            <w:shd w:val="clear" w:color="auto" w:fill="auto"/>
          </w:tcPr>
          <w:p>
            <w:pPr>
              <w:rPr>
                <w:rFonts w:ascii="微软雅黑" w:hAnsi="微软雅黑" w:eastAsia="微软雅黑" w:cs="宋体"/>
                <w:kern w:val="36"/>
                <w:sz w:val="24"/>
                <w:szCs w:val="24"/>
              </w:rPr>
            </w:pPr>
          </w:p>
        </w:tc>
      </w:tr>
    </w:tbl>
    <w:p>
      <w:pPr>
        <w:widowControl/>
        <w:shd w:val="clear" w:color="auto" w:fill="FFFFFF"/>
        <w:spacing w:line="210" w:lineRule="atLeast"/>
        <w:jc w:val="left"/>
        <w:rPr>
          <w:rFonts w:ascii="宋体" w:hAnsi="宋体" w:eastAsia="宋体" w:cs="Times New Roman"/>
          <w:sz w:val="28"/>
          <w:szCs w:val="28"/>
        </w:rPr>
      </w:pPr>
    </w:p>
    <w:sectPr>
      <w:footerReference r:id="rId3" w:type="default"/>
      <w:pgSz w:w="11906" w:h="16838"/>
      <w:pgMar w:top="1247" w:right="1230" w:bottom="1247"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810F4"/>
    <w:multiLevelType w:val="multilevel"/>
    <w:tmpl w:val="5EF810F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3ED"/>
    <w:rsid w:val="000220E2"/>
    <w:rsid w:val="0007043A"/>
    <w:rsid w:val="000B0C06"/>
    <w:rsid w:val="000D4C0F"/>
    <w:rsid w:val="000E386A"/>
    <w:rsid w:val="000F267C"/>
    <w:rsid w:val="000F6E6F"/>
    <w:rsid w:val="001264DE"/>
    <w:rsid w:val="0014557C"/>
    <w:rsid w:val="001E469A"/>
    <w:rsid w:val="00204058"/>
    <w:rsid w:val="00213CF4"/>
    <w:rsid w:val="00217FAC"/>
    <w:rsid w:val="002A1816"/>
    <w:rsid w:val="002B58D2"/>
    <w:rsid w:val="002D604A"/>
    <w:rsid w:val="003144ED"/>
    <w:rsid w:val="003467AD"/>
    <w:rsid w:val="003833D7"/>
    <w:rsid w:val="00392F2F"/>
    <w:rsid w:val="003D2E09"/>
    <w:rsid w:val="003E76B4"/>
    <w:rsid w:val="004425FA"/>
    <w:rsid w:val="0049667C"/>
    <w:rsid w:val="004B1D47"/>
    <w:rsid w:val="0052756D"/>
    <w:rsid w:val="0053321D"/>
    <w:rsid w:val="005A0C1E"/>
    <w:rsid w:val="005B0140"/>
    <w:rsid w:val="005F70AA"/>
    <w:rsid w:val="0060131D"/>
    <w:rsid w:val="00690995"/>
    <w:rsid w:val="00740E8D"/>
    <w:rsid w:val="00767D4B"/>
    <w:rsid w:val="00791BA5"/>
    <w:rsid w:val="007E5C31"/>
    <w:rsid w:val="007F53F3"/>
    <w:rsid w:val="007F6028"/>
    <w:rsid w:val="00865B1F"/>
    <w:rsid w:val="008B2445"/>
    <w:rsid w:val="008D39FE"/>
    <w:rsid w:val="00934C30"/>
    <w:rsid w:val="00964462"/>
    <w:rsid w:val="0099582D"/>
    <w:rsid w:val="009A4A63"/>
    <w:rsid w:val="009C13ED"/>
    <w:rsid w:val="00A838D2"/>
    <w:rsid w:val="00AD5234"/>
    <w:rsid w:val="00AF4444"/>
    <w:rsid w:val="00AF650E"/>
    <w:rsid w:val="00B3684B"/>
    <w:rsid w:val="00B769E8"/>
    <w:rsid w:val="00BB25F4"/>
    <w:rsid w:val="00BB41B1"/>
    <w:rsid w:val="00BB48F0"/>
    <w:rsid w:val="00BC4730"/>
    <w:rsid w:val="00C55D67"/>
    <w:rsid w:val="00C73C99"/>
    <w:rsid w:val="00C917FB"/>
    <w:rsid w:val="00D044E5"/>
    <w:rsid w:val="00D3613B"/>
    <w:rsid w:val="00D66F76"/>
    <w:rsid w:val="00E06AC6"/>
    <w:rsid w:val="00E43A8B"/>
    <w:rsid w:val="00F226B9"/>
    <w:rsid w:val="00F3388C"/>
    <w:rsid w:val="00F73913"/>
    <w:rsid w:val="00FB298D"/>
    <w:rsid w:val="32A54A14"/>
    <w:rsid w:val="474777C6"/>
    <w:rsid w:val="76FC2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日期 Char"/>
    <w:basedOn w:val="7"/>
    <w:link w:val="2"/>
    <w:semiHidden/>
    <w:qFormat/>
    <w:uiPriority w:val="99"/>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378</Words>
  <Characters>2156</Characters>
  <Lines>17</Lines>
  <Paragraphs>5</Paragraphs>
  <TotalTime>314</TotalTime>
  <ScaleCrop>false</ScaleCrop>
  <LinksUpToDate>false</LinksUpToDate>
  <CharactersWithSpaces>2529</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2019-04-16T15:03:00Z</dcterms:created>
  <dc:creator>Administrator</dc:creator>
  <cp:lastModifiedBy>蓬蓬兔</cp:lastModifiedBy>
  <cp:lastPrinted>2019-05-21T07:02:00Z</cp:lastPrinted>
  <dcterms:modified xsi:type="dcterms:W3CDTF">2019-05-21T07:24:05Z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