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</w:rPr>
        <w:t>广西工商技师学院</w:t>
      </w:r>
      <w:r>
        <w:rPr>
          <w:rFonts w:hint="eastAsia"/>
          <w:sz w:val="44"/>
          <w:lang w:eastAsia="zh-CN"/>
        </w:rPr>
        <w:t>超市外包服务采购招标</w:t>
      </w:r>
      <w:r>
        <w:rPr>
          <w:rFonts w:hint="eastAsia"/>
          <w:sz w:val="44"/>
        </w:rPr>
        <w:t>中标结果公示</w:t>
      </w:r>
    </w:p>
    <w:p>
      <w:pPr>
        <w:widowControl/>
        <w:shd w:val="clear" w:color="auto" w:fill="FFFFFF"/>
        <w:spacing w:after="150"/>
        <w:ind w:firstLine="480" w:firstLineChars="2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广西工商技师学院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  <w:lang w:eastAsia="zh-CN"/>
        </w:rPr>
        <w:t>超市外包服务采购招标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于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 2019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 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日在学校进行了评标工作，现就本次评标的结果公告如下：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　 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  <w:lang w:eastAsia="zh-CN"/>
        </w:rPr>
        <w:t>中标单位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tbl>
      <w:tblPr>
        <w:tblStyle w:val="4"/>
        <w:tblW w:w="85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1"/>
        <w:gridCol w:w="2014"/>
        <w:gridCol w:w="25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名称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720" w:firstLineChars="300"/>
              <w:jc w:val="both"/>
              <w:rPr>
                <w:rFonts w:ascii="宋体" w:hAnsi="宋体" w:eastAsia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标段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720" w:firstLineChars="30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中标金额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9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梧州市长洲区钦友百货商店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A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720" w:firstLineChars="30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9216元/月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</w:rPr>
              <w:t>南宁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慧汇轩餐饮企业管理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</w:rPr>
              <w:t>有限公司</w:t>
            </w:r>
          </w:p>
        </w:tc>
        <w:tc>
          <w:tcPr>
            <w:tcW w:w="2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960" w:firstLineChars="400"/>
              <w:jc w:val="both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B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720" w:firstLineChars="300"/>
              <w:jc w:val="center"/>
              <w:rPr>
                <w:rFonts w:hint="default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21768元/月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eastAsia="zh-CN"/>
              </w:rPr>
              <w:t>苍梧县木双镇彩霞小卖部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960" w:firstLineChars="400"/>
              <w:jc w:val="both"/>
              <w:rPr>
                <w:rFonts w:hint="default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C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/>
              <w:ind w:firstLine="720" w:firstLineChars="300"/>
              <w:jc w:val="center"/>
              <w:rPr>
                <w:rFonts w:hint="default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1"/>
                <w:lang w:val="en-US" w:eastAsia="zh-CN"/>
              </w:rPr>
              <w:t>7260元/月</w:t>
            </w:r>
          </w:p>
        </w:tc>
      </w:tr>
    </w:tbl>
    <w:p>
      <w:pPr>
        <w:widowControl/>
        <w:shd w:val="clear" w:color="auto" w:fill="FFFFFF"/>
        <w:spacing w:after="150"/>
        <w:ind w:firstLine="600" w:firstLineChars="250"/>
        <w:jc w:val="center"/>
        <w:rPr>
          <w:rFonts w:ascii="宋体" w:hAnsi="宋体" w:eastAsia="宋体" w:cs="宋体"/>
          <w:color w:val="666666"/>
          <w:kern w:val="0"/>
          <w:sz w:val="24"/>
          <w:szCs w:val="21"/>
        </w:rPr>
      </w:pPr>
    </w:p>
    <w:p>
      <w:pPr>
        <w:widowControl/>
        <w:shd w:val="clear" w:color="auto" w:fill="FFFFFF"/>
        <w:spacing w:after="150"/>
        <w:jc w:val="left"/>
        <w:rPr>
          <w:rFonts w:ascii="宋体" w:hAnsi="宋体" w:eastAsia="宋体" w:cs="宋体"/>
          <w:color w:val="666666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</w:rPr>
        <w:t>、公告期限　　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　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   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投标结果公告期限：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2019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日至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日下午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1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: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0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1"/>
        </w:rPr>
        <w:t>、相关事项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（一）请中标单位在公告期结束后尽快与我院联系办理有关事宜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,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在此，谨对积极参与本项目的招投标单位表示感谢！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（二）现将中标结果予以公告，各有关当事人对评标结果有异议的，可在公告期限结束之日内以书面形式向广西工商技师学院提出质疑，逾期不再受理。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（三）联系地址：梧州市龙圩区广信路358号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联系人：龙老师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      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联系电话：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0774-2680972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MS Gothic" w:hAnsi="MS Gothic" w:eastAsia="MS Gothic" w:cs="MS Gothic"/>
          <w:color w:val="666666"/>
          <w:kern w:val="0"/>
          <w:sz w:val="24"/>
          <w:szCs w:val="21"/>
        </w:rPr>
        <w:t>​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 xml:space="preserve">                                                     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广西工商技师学院总务科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                                                           2019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666666"/>
          <w:kern w:val="0"/>
          <w:sz w:val="24"/>
          <w:szCs w:val="21"/>
        </w:rPr>
        <w:t>日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　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1E1"/>
    <w:rsid w:val="000013E8"/>
    <w:rsid w:val="0003223D"/>
    <w:rsid w:val="00630106"/>
    <w:rsid w:val="00772BDF"/>
    <w:rsid w:val="00851C06"/>
    <w:rsid w:val="00A50D08"/>
    <w:rsid w:val="00B422E3"/>
    <w:rsid w:val="00B74B7D"/>
    <w:rsid w:val="00B74C72"/>
    <w:rsid w:val="00BB2AFC"/>
    <w:rsid w:val="00BC5284"/>
    <w:rsid w:val="00C435F0"/>
    <w:rsid w:val="00C551E1"/>
    <w:rsid w:val="00F14DEA"/>
    <w:rsid w:val="00F17050"/>
    <w:rsid w:val="00FE2B07"/>
    <w:rsid w:val="12B10211"/>
    <w:rsid w:val="451A3EB1"/>
    <w:rsid w:val="62CE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10</TotalTime>
  <ScaleCrop>false</ScaleCrop>
  <LinksUpToDate>false</LinksUpToDate>
  <CharactersWithSpaces>627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2019-05-28T06:50:00Z</dcterms:created>
  <dc:creator>admin</dc:creator>
  <cp:lastModifiedBy>119</cp:lastModifiedBy>
  <cp:lastPrinted>2019-05-28T08:17:00Z</cp:lastPrinted>
  <dcterms:modified xsi:type="dcterms:W3CDTF">2019-08-06T08:41:21Z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