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</w:pP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广西工商技师学院</w:t>
      </w:r>
      <w:r>
        <w:rPr>
          <w:rFonts w:hint="eastAsia" w:ascii="Arial" w:hAnsi="Arial" w:eastAsia="微软雅黑" w:cs="Arial"/>
          <w:b/>
          <w:bCs/>
          <w:color w:val="333333"/>
          <w:kern w:val="0"/>
          <w:sz w:val="28"/>
          <w:szCs w:val="28"/>
        </w:rPr>
        <w:t>梧州高新校区LED电子广告走字屏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项目询价采购公告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45" w:firstLine="46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根据我国采购法规，经学院审批，现就我院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梧州高新校区LED电子广告走字屏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项目进行询价采购，欢迎符合条件的供应商参加报价。有关事项公告如下：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一、项目名称：梧州高新校区LED电子广告走字屏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二、采购方式：询价采购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三、采购内容及要求：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firstLine="560" w:firstLineChars="200"/>
        <w:jc w:val="left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ascii="Arial" w:hAnsi="Arial" w:eastAsia="微软雅黑" w:cs="Arial"/>
          <w:b w:val="0"/>
          <w:bCs w:val="0"/>
          <w:color w:val="2B2B2B"/>
          <w:kern w:val="0"/>
          <w:sz w:val="28"/>
          <w:szCs w:val="28"/>
        </w:rPr>
        <w:t>1.</w:t>
      </w:r>
      <w:r>
        <w:rPr>
          <w:rFonts w:hint="eastAsia"/>
          <w:b w:val="0"/>
          <w:bCs w:val="0"/>
          <w:sz w:val="22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在球场边（即门口顶部墙体）安装户外LED电子广告走字屏，安装尺寸（含铝合金边框）：长8.09m*高1.05m=8.5㎡。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firstLine="560" w:firstLineChars="200"/>
        <w:jc w:val="left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.LED显示屏技术参数：模组尺寸320mm*16点高；显示屏亮度≥1500CD/㎡；屏体重量10kg/㎡；屏体厚度100mm；工作电压380V±10％；软件15级可调，根据不同环境亮度自动或手动调节显示亮度；文字信息等交替使用或任意组合，单个或多个窗口均可播放；支持手机WiFi控制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firstLine="560" w:firstLineChars="200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Arial" w:hAnsi="Arial" w:eastAsia="微软雅黑" w:cs="Arial"/>
          <w:b w:val="0"/>
          <w:bCs w:val="0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ascii="Arial" w:hAnsi="Arial" w:eastAsia="微软雅黑" w:cs="Arial"/>
          <w:b w:val="0"/>
          <w:bCs w:val="0"/>
          <w:color w:val="2B2B2B"/>
          <w:kern w:val="0"/>
          <w:sz w:val="28"/>
          <w:szCs w:val="28"/>
        </w:rPr>
        <w:t>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样式附图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5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四、递交报价文件地点及截至时间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标书接收时间:2020年12月3日上午8:30-9:30，报价人应于  2020 年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 xml:space="preserve"> 月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日上午  9：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0 时，将报价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文件密封盖章交到梧州市龙圩区广信路358号广西工商技师院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总务科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，逾期送达或未按要求密封将予以拒收。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五、报价文件内容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六、开标时间、地点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   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时时在广西工商技师学院开标,报价最低者定为成交供应商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jc w:val="left"/>
        <w:textAlignment w:val="baseline"/>
        <w:rPr>
          <w:rFonts w:hint="eastAsia"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七、联系人：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  易老师     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   联系电话：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07742680972   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60"/>
        <w:jc w:val="right"/>
        <w:textAlignment w:val="baseline"/>
        <w:rPr>
          <w:rFonts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广西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</w:rPr>
        <w:t>工商技师学院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60"/>
        <w:jc w:val="right"/>
        <w:textAlignment w:val="baseline"/>
        <w:rPr>
          <w:rFonts w:hint="eastAsia" w:ascii="Arial" w:hAnsi="Arial" w:eastAsia="微软雅黑" w:cs="Arial"/>
          <w:color w:val="2B2B2B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2020年11月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525" w:lineRule="atLeast"/>
        <w:ind w:firstLine="3373" w:firstLineChars="1200"/>
        <w:jc w:val="both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  <w:t>报价表</w:t>
      </w:r>
    </w:p>
    <w:p>
      <w:pPr>
        <w:widowControl/>
        <w:shd w:val="clear" w:color="auto" w:fill="FFFFFF"/>
        <w:spacing w:line="525" w:lineRule="atLeast"/>
        <w:ind w:firstLine="840" w:firstLineChars="300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采购项目名称:</w:t>
      </w:r>
      <w:r>
        <w:rPr>
          <w:rFonts w:ascii="Arial" w:hAnsi="Arial" w:eastAsia="微软雅黑" w:cs="Arial"/>
          <w:b/>
          <w:bCs/>
          <w:color w:val="2B2B2B"/>
          <w:kern w:val="0"/>
          <w:sz w:val="28"/>
          <w:szCs w:val="28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梧州高新校区LED电子广告走字屏</w:t>
      </w:r>
      <w:bookmarkStart w:id="0" w:name="_GoBack"/>
      <w:bookmarkEnd w:id="0"/>
    </w:p>
    <w:p>
      <w:pPr>
        <w:widowControl/>
        <w:shd w:val="clear" w:color="auto" w:fill="FFFFFF"/>
        <w:spacing w:line="525" w:lineRule="atLeast"/>
        <w:ind w:firstLine="2520" w:firstLineChars="900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（预算金额：7650元）</w:t>
      </w:r>
    </w:p>
    <w:tbl>
      <w:tblPr>
        <w:tblStyle w:val="2"/>
        <w:tblpPr w:leftFromText="180" w:rightFromText="180" w:vertAnchor="text" w:horzAnchor="page" w:tblpX="1069" w:tblpY="12"/>
        <w:tblOverlap w:val="never"/>
        <w:tblW w:w="988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160"/>
        <w:gridCol w:w="1386"/>
        <w:gridCol w:w="1393"/>
        <w:gridCol w:w="1508"/>
        <w:gridCol w:w="1393"/>
        <w:gridCol w:w="1160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 xml:space="preserve">                                                                 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产品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型号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金额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3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合  计：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实际报价总额（大写）人民币                              （小写）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其他要求：                                                                                                         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 xml:space="preserve"> 1.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总报价为货物送达采购人指定地点可能发生的所有费用，包括税收、运费、装卸费。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2.报价超过预算价作无效报价理。                                                              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eastAsia" w:ascii="Arial" w:hAnsi="Arial" w:eastAsia="仿宋_GB2312" w:cs="Arial"/>
                <w:color w:val="757D8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4.交货地点：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eastAsia="zh-CN"/>
              </w:rPr>
              <w:t>广西工商技师学院高新校区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5.交货日期：1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6.报价相同时，由采购小组抽签决定。</w:t>
            </w:r>
          </w:p>
        </w:tc>
      </w:tr>
    </w:tbl>
    <w:p>
      <w:pPr>
        <w:widowControl/>
        <w:spacing w:before="100" w:beforeAutospacing="1" w:after="100" w:afterAutospacing="1" w:line="480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2"/>
          <w:szCs w:val="22"/>
        </w:rPr>
        <w:t> 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供应商（公章）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法定代表人或代理人签字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联系人及联系电话：                              日期：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4"/>
          <w:szCs w:val="24"/>
        </w:rPr>
        <w:t>报价文件包括内容：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1.报价表；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2.公司营业执照复印件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3.法人身份证复印件（委托代理需提供法人授权委托书及代理人身份证复印件）。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所有文件材料必须加盖公司公章，要求签署的文件材料必须由公司法定代表人或委托代理人签字。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样式附图</w:t>
      </w:r>
    </w:p>
    <w:p>
      <w:r>
        <w:drawing>
          <wp:inline distT="0" distB="0" distL="0" distR="0">
            <wp:extent cx="5238750" cy="3478530"/>
            <wp:effectExtent l="0" t="0" r="0" b="7620"/>
            <wp:docPr id="1027" name="图片 1" descr="微信图片_2020111515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微信图片_202011151539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2"/>
    <w:rsid w:val="006C69FA"/>
    <w:rsid w:val="00B374D6"/>
    <w:rsid w:val="00B93E73"/>
    <w:rsid w:val="00E347E7"/>
    <w:rsid w:val="00E63752"/>
    <w:rsid w:val="0C431669"/>
    <w:rsid w:val="14987A96"/>
    <w:rsid w:val="182B536B"/>
    <w:rsid w:val="2124612D"/>
    <w:rsid w:val="378D516D"/>
    <w:rsid w:val="3FBD5E84"/>
    <w:rsid w:val="46D55273"/>
    <w:rsid w:val="48982235"/>
    <w:rsid w:val="57E14FBB"/>
    <w:rsid w:val="72245023"/>
    <w:rsid w:val="75813732"/>
    <w:rsid w:val="795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197</Words>
  <Characters>1126</Characters>
  <Lines>9</Lines>
  <Paragraphs>2</Paragraphs>
  <TotalTime>9</TotalTime>
  <ScaleCrop>false</ScaleCrop>
  <LinksUpToDate>false</LinksUpToDate>
  <CharactersWithSpaces>1321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2020-11-24T00:05:00Z</dcterms:created>
  <dc:creator>Administrator</dc:creator>
  <cp:lastModifiedBy>南南</cp:lastModifiedBy>
  <cp:lastPrinted>2020-11-30T03:17:00Z</cp:lastPrinted>
  <dcterms:modified xsi:type="dcterms:W3CDTF">2020-11-30T08:59:12Z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